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84875" w14:textId="44113996" w:rsidR="001A23E8" w:rsidRPr="002F3A2E" w:rsidRDefault="009146CD" w:rsidP="002F3A2E">
      <w:pPr>
        <w:pBdr>
          <w:top w:val="single" w:sz="4" w:space="1" w:color="auto"/>
          <w:left w:val="single" w:sz="4" w:space="4" w:color="auto"/>
          <w:bottom w:val="single" w:sz="4" w:space="1" w:color="auto"/>
          <w:right w:val="single" w:sz="4" w:space="4" w:color="auto"/>
        </w:pBdr>
        <w:shd w:val="clear" w:color="auto" w:fill="FFF2CC" w:themeFill="accent4" w:themeFillTint="33"/>
        <w:jc w:val="center"/>
        <w:rPr>
          <w:b/>
          <w:sz w:val="26"/>
          <w:szCs w:val="26"/>
        </w:rPr>
      </w:pPr>
      <w:r w:rsidRPr="002F3A2E">
        <w:rPr>
          <w:b/>
          <w:sz w:val="26"/>
          <w:szCs w:val="26"/>
        </w:rPr>
        <w:t>Stellungnahme Vernehmlassung zu Covid-19-Gesetz</w:t>
      </w:r>
    </w:p>
    <w:p w14:paraId="49A71AC1" w14:textId="1EC0754E" w:rsidR="0076005B" w:rsidRDefault="005C7B26" w:rsidP="0093705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pPr>
      <w:r>
        <w:t xml:space="preserve">Von: </w:t>
      </w:r>
      <w:r>
        <w:tab/>
      </w:r>
      <w:r>
        <w:tab/>
        <w:t>_________________________</w:t>
      </w:r>
      <w:r w:rsidR="00BB5517">
        <w:t>___________</w:t>
      </w:r>
    </w:p>
    <w:p w14:paraId="27D4FF1C" w14:textId="44745458" w:rsidR="005C7B26" w:rsidRDefault="005C7B26" w:rsidP="0093705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pPr>
      <w:r>
        <w:tab/>
      </w:r>
      <w:r>
        <w:tab/>
        <w:t>_________________________</w:t>
      </w:r>
      <w:r w:rsidR="00BB5517">
        <w:t>___________</w:t>
      </w:r>
    </w:p>
    <w:p w14:paraId="06C11A96" w14:textId="4F703152" w:rsidR="005C7B26" w:rsidRDefault="005C7B26" w:rsidP="0093705A">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pPr>
      <w:r>
        <w:tab/>
      </w:r>
      <w:r>
        <w:tab/>
        <w:t>_________________________</w:t>
      </w:r>
      <w:r w:rsidR="00BB5517">
        <w:t>___________</w:t>
      </w:r>
    </w:p>
    <w:p w14:paraId="513098EB" w14:textId="3D85A615" w:rsidR="009146CD" w:rsidRDefault="005C7B26" w:rsidP="005C7B26">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40" w:lineRule="auto"/>
      </w:pPr>
      <w:r>
        <w:tab/>
      </w:r>
      <w:r>
        <w:tab/>
        <w:t>_________________________</w:t>
      </w:r>
      <w:r w:rsidR="00BB5517">
        <w:t>___________</w:t>
      </w:r>
    </w:p>
    <w:p w14:paraId="1BE07CAF" w14:textId="13A112ED" w:rsidR="002F3A2E" w:rsidRPr="002F3A2E" w:rsidRDefault="00BB5517" w:rsidP="002F3A2E">
      <w:pPr>
        <w:spacing w:line="240" w:lineRule="auto"/>
        <w:ind w:left="5670"/>
        <w:rPr>
          <w:b/>
        </w:rPr>
      </w:pPr>
      <w:r>
        <w:rPr>
          <w:b/>
        </w:rPr>
        <w:br/>
      </w:r>
      <w:r w:rsidR="002F3A2E" w:rsidRPr="002F3A2E">
        <w:rPr>
          <w:b/>
        </w:rPr>
        <w:t>EINSCHREIBEN</w:t>
      </w:r>
    </w:p>
    <w:p w14:paraId="0BAFFCE7" w14:textId="1DD42709" w:rsidR="009146CD" w:rsidRDefault="00511B06" w:rsidP="002F3A2E">
      <w:pPr>
        <w:spacing w:line="240" w:lineRule="auto"/>
        <w:ind w:left="5670"/>
      </w:pPr>
      <w:r>
        <w:t>An die</w:t>
      </w:r>
      <w:r>
        <w:br/>
      </w:r>
      <w:r w:rsidR="009146CD">
        <w:t>Schweizerische Bundeskanzlei</w:t>
      </w:r>
      <w:r w:rsidR="002F3A2E">
        <w:br/>
      </w:r>
      <w:r w:rsidR="009146CD">
        <w:t>Bundeshaus West</w:t>
      </w:r>
      <w:r w:rsidR="009146CD">
        <w:br/>
        <w:t>3003 Bern</w:t>
      </w:r>
    </w:p>
    <w:p w14:paraId="5F7F9000" w14:textId="77777777" w:rsidR="00E17E80" w:rsidRDefault="00E17E80" w:rsidP="002F3A2E">
      <w:pPr>
        <w:spacing w:after="0" w:line="240" w:lineRule="auto"/>
        <w:rPr>
          <w:b/>
          <w:bCs/>
          <w:sz w:val="24"/>
          <w:szCs w:val="24"/>
        </w:rPr>
      </w:pPr>
    </w:p>
    <w:p w14:paraId="0C4749DF" w14:textId="654D3F3A" w:rsidR="009146CD" w:rsidRPr="009146CD" w:rsidRDefault="009146CD" w:rsidP="002F3A2E">
      <w:pPr>
        <w:spacing w:after="0" w:line="240" w:lineRule="auto"/>
        <w:rPr>
          <w:b/>
          <w:bCs/>
          <w:sz w:val="24"/>
          <w:szCs w:val="24"/>
        </w:rPr>
      </w:pPr>
      <w:r w:rsidRPr="000B6655">
        <w:rPr>
          <w:b/>
          <w:bCs/>
          <w:sz w:val="24"/>
          <w:szCs w:val="24"/>
        </w:rPr>
        <w:t>Stellung</w:t>
      </w:r>
      <w:r w:rsidRPr="00511B06">
        <w:rPr>
          <w:b/>
          <w:bCs/>
          <w:sz w:val="24"/>
          <w:szCs w:val="24"/>
        </w:rPr>
        <w:t xml:space="preserve">nahme </w:t>
      </w:r>
      <w:r w:rsidR="00E17E80" w:rsidRPr="00511B06">
        <w:rPr>
          <w:b/>
          <w:bCs/>
          <w:sz w:val="24"/>
          <w:szCs w:val="24"/>
        </w:rPr>
        <w:t>im Rahmen</w:t>
      </w:r>
      <w:r w:rsidRPr="00511B06">
        <w:rPr>
          <w:b/>
          <w:bCs/>
          <w:sz w:val="24"/>
          <w:szCs w:val="24"/>
        </w:rPr>
        <w:t xml:space="preserve"> </w:t>
      </w:r>
      <w:r w:rsidR="00E17E80" w:rsidRPr="00511B06">
        <w:rPr>
          <w:b/>
          <w:bCs/>
          <w:sz w:val="24"/>
          <w:szCs w:val="24"/>
        </w:rPr>
        <w:t xml:space="preserve">der </w:t>
      </w:r>
      <w:r w:rsidRPr="00511B06">
        <w:rPr>
          <w:b/>
          <w:bCs/>
          <w:sz w:val="24"/>
          <w:szCs w:val="24"/>
        </w:rPr>
        <w:t>Vernehm</w:t>
      </w:r>
      <w:r w:rsidRPr="009146CD">
        <w:rPr>
          <w:b/>
          <w:bCs/>
          <w:sz w:val="24"/>
          <w:szCs w:val="24"/>
        </w:rPr>
        <w:t>lassung zum Covid-19-Gesetz</w:t>
      </w:r>
    </w:p>
    <w:p w14:paraId="5562C693" w14:textId="4968C68D" w:rsidR="009146CD" w:rsidRDefault="009146CD" w:rsidP="002F3A2E">
      <w:pPr>
        <w:spacing w:after="0" w:line="240" w:lineRule="auto"/>
      </w:pPr>
    </w:p>
    <w:p w14:paraId="5395DE32" w14:textId="18E479D8" w:rsidR="009146CD" w:rsidRDefault="009146CD" w:rsidP="002F3A2E">
      <w:pPr>
        <w:spacing w:after="0" w:line="240" w:lineRule="auto"/>
      </w:pPr>
      <w:r>
        <w:t xml:space="preserve">Sehr geehrte Präsidentin des Nationalrats Frau </w:t>
      </w:r>
      <w:proofErr w:type="spellStart"/>
      <w:r>
        <w:t>Moret</w:t>
      </w:r>
      <w:proofErr w:type="spellEnd"/>
    </w:p>
    <w:p w14:paraId="35981932" w14:textId="57AC45AC" w:rsidR="009146CD" w:rsidRDefault="009146CD" w:rsidP="002F3A2E">
      <w:pPr>
        <w:spacing w:after="0" w:line="240" w:lineRule="auto"/>
      </w:pPr>
      <w:r>
        <w:t>Sehr geehrter Präsident des Ständerats Herr Stöckli</w:t>
      </w:r>
    </w:p>
    <w:p w14:paraId="06F9B3E0" w14:textId="0EF2F2E4" w:rsidR="009146CD" w:rsidRDefault="009146CD" w:rsidP="002F3A2E">
      <w:pPr>
        <w:spacing w:after="0" w:line="240" w:lineRule="auto"/>
      </w:pPr>
      <w:r>
        <w:t>Sehr geehrter Herr Bundeskanzler</w:t>
      </w:r>
      <w:r w:rsidRPr="009146CD">
        <w:t xml:space="preserve"> </w:t>
      </w:r>
      <w:proofErr w:type="spellStart"/>
      <w:r>
        <w:t>Thurnherr</w:t>
      </w:r>
      <w:proofErr w:type="spellEnd"/>
    </w:p>
    <w:p w14:paraId="0722311E" w14:textId="527C86D6" w:rsidR="009146CD" w:rsidRDefault="009146CD" w:rsidP="002F3A2E">
      <w:pPr>
        <w:spacing w:after="0" w:line="240" w:lineRule="auto"/>
      </w:pPr>
    </w:p>
    <w:p w14:paraId="088AD6F0" w14:textId="6BEA709E" w:rsidR="0081372D" w:rsidRDefault="009146CD" w:rsidP="00BB5517">
      <w:pPr>
        <w:jc w:val="both"/>
      </w:pPr>
      <w:r>
        <w:t xml:space="preserve">Der Bundesrat hat am 19.6.2020 </w:t>
      </w:r>
      <w:r w:rsidR="003E0D11">
        <w:t xml:space="preserve">das </w:t>
      </w:r>
      <w:proofErr w:type="spellStart"/>
      <w:r w:rsidR="003E0D11">
        <w:t>Vernehmlassungsverfahren</w:t>
      </w:r>
      <w:proofErr w:type="spellEnd"/>
      <w:r w:rsidR="003E0D11">
        <w:t xml:space="preserve"> zum Entwurf </w:t>
      </w:r>
      <w:proofErr w:type="gramStart"/>
      <w:r w:rsidR="003E0D11">
        <w:t xml:space="preserve">des </w:t>
      </w:r>
      <w:r w:rsidR="003E0D11" w:rsidRPr="003E0D11">
        <w:t>Covid-19-Gesetz</w:t>
      </w:r>
      <w:proofErr w:type="gramEnd"/>
      <w:r w:rsidR="003E0D11" w:rsidRPr="003E0D11">
        <w:t xml:space="preserve"> eröffnet. </w:t>
      </w:r>
      <w:r w:rsidR="003E0D11">
        <w:t xml:space="preserve">Gerne nutzen </w:t>
      </w:r>
      <w:r w:rsidR="0035011B">
        <w:t xml:space="preserve">wir </w:t>
      </w:r>
      <w:r w:rsidR="003E0D11">
        <w:t>die Gelegenheit</w:t>
      </w:r>
      <w:r w:rsidR="00A16FBA">
        <w:t>,</w:t>
      </w:r>
      <w:r w:rsidR="003E0D11">
        <w:t xml:space="preserve"> Stellung zu nehmen. Zusammenfassend kommen wir zum Schluss, </w:t>
      </w:r>
    </w:p>
    <w:p w14:paraId="5419CE8E" w14:textId="0BABFC17" w:rsidR="0081372D" w:rsidRDefault="0081372D" w:rsidP="002F3A2E">
      <w:pPr>
        <w:pStyle w:val="Listenabsatz"/>
        <w:numPr>
          <w:ilvl w:val="0"/>
          <w:numId w:val="6"/>
        </w:numPr>
        <w:jc w:val="both"/>
      </w:pPr>
      <w:r>
        <w:t xml:space="preserve">Dass die Voraussetzungen für </w:t>
      </w:r>
      <w:r w:rsidR="00695EEA">
        <w:t>ein</w:t>
      </w:r>
      <w:r w:rsidR="000370BF">
        <w:t>e</w:t>
      </w:r>
      <w:r>
        <w:t xml:space="preserve"> </w:t>
      </w:r>
      <w:proofErr w:type="spellStart"/>
      <w:r>
        <w:t>Dringlicherklärung</w:t>
      </w:r>
      <w:proofErr w:type="spellEnd"/>
      <w:r>
        <w:t xml:space="preserve"> und sofortige Inkraftsetzung dieses Gesetzes </w:t>
      </w:r>
      <w:r w:rsidR="000370BF">
        <w:t xml:space="preserve">auf der Basis von Art. 165 Bundesverfassung </w:t>
      </w:r>
      <w:r>
        <w:t>nicht gegeben sind</w:t>
      </w:r>
      <w:r w:rsidR="00E134FA">
        <w:t>, insbesondere nicht</w:t>
      </w:r>
      <w:r w:rsidR="000370BF">
        <w:t xml:space="preserve"> soweit es um den Schutz der öffentlichen Gesundheit vor </w:t>
      </w:r>
      <w:r w:rsidR="00E134FA">
        <w:t xml:space="preserve">COVID-19 geht. Die bestehende gesetzliche Ordnung </w:t>
      </w:r>
      <w:r w:rsidR="00A75A21">
        <w:t>(</w:t>
      </w:r>
      <w:proofErr w:type="spellStart"/>
      <w:r w:rsidR="00A75A21">
        <w:t>Epidemiengesetz</w:t>
      </w:r>
      <w:proofErr w:type="spellEnd"/>
      <w:r w:rsidR="00A75A21">
        <w:t>; allenfalls Art. 185 Abs. 3 BV)</w:t>
      </w:r>
      <w:r w:rsidR="00E134FA">
        <w:t xml:space="preserve"> </w:t>
      </w:r>
      <w:r w:rsidR="007428CF">
        <w:t>reicht</w:t>
      </w:r>
      <w:r w:rsidR="00695EEA">
        <w:t xml:space="preserve"> </w:t>
      </w:r>
      <w:r w:rsidR="000370BF">
        <w:t xml:space="preserve">als rechtliche Basis für einen </w:t>
      </w:r>
      <w:r w:rsidR="00E134FA">
        <w:t>wirksamen Schutz der öffentlichen Gesundheit vor den Auswirkungen von COVID-19</w:t>
      </w:r>
      <w:r w:rsidR="000370BF">
        <w:t xml:space="preserve"> </w:t>
      </w:r>
      <w:r w:rsidR="00F2246A">
        <w:t xml:space="preserve">vollumfänglich </w:t>
      </w:r>
      <w:r w:rsidR="000370BF">
        <w:t>aus;</w:t>
      </w:r>
    </w:p>
    <w:p w14:paraId="41477121" w14:textId="7A7C4679" w:rsidR="0081372D" w:rsidRDefault="0081372D" w:rsidP="002F3A2E">
      <w:pPr>
        <w:pStyle w:val="Listenabsatz"/>
        <w:numPr>
          <w:ilvl w:val="0"/>
          <w:numId w:val="6"/>
        </w:numPr>
        <w:jc w:val="both"/>
      </w:pPr>
      <w:r>
        <w:t xml:space="preserve">Dass </w:t>
      </w:r>
      <w:r w:rsidR="00E134FA">
        <w:t>unabhängig von</w:t>
      </w:r>
      <w:r w:rsidR="000E1A16">
        <w:t xml:space="preserve"> der </w:t>
      </w:r>
      <w:r w:rsidR="00695EEA">
        <w:t>Frage</w:t>
      </w:r>
      <w:r w:rsidR="000E1A16">
        <w:t xml:space="preserve"> der Dringlichkeit</w:t>
      </w:r>
      <w:r w:rsidR="000370BF">
        <w:t xml:space="preserve"> </w:t>
      </w:r>
      <w:r w:rsidR="00423219">
        <w:t xml:space="preserve">ohnehin </w:t>
      </w:r>
      <w:r w:rsidR="000370BF">
        <w:t>kein</w:t>
      </w:r>
      <w:r w:rsidR="00695EEA">
        <w:t xml:space="preserve"> </w:t>
      </w:r>
      <w:r w:rsidR="005D1A7A">
        <w:t xml:space="preserve">zusätzlicher </w:t>
      </w:r>
      <w:r w:rsidR="00695EEA">
        <w:t>Regelungsbedarf</w:t>
      </w:r>
      <w:r w:rsidR="000370BF">
        <w:t xml:space="preserve"> besteht</w:t>
      </w:r>
      <w:r w:rsidR="00F2246A">
        <w:t>. Die</w:t>
      </w:r>
      <w:r w:rsidR="000370BF">
        <w:t xml:space="preserve"> bestehende Ordnung </w:t>
      </w:r>
      <w:r w:rsidR="00A75A21">
        <w:t>(</w:t>
      </w:r>
      <w:proofErr w:type="spellStart"/>
      <w:r w:rsidR="00A75A21">
        <w:t>Epidemiengesetz</w:t>
      </w:r>
      <w:proofErr w:type="spellEnd"/>
      <w:r w:rsidR="00A75A21">
        <w:t>; allenfalls Art. 185 Abs. 3 BV)</w:t>
      </w:r>
      <w:r w:rsidR="000370BF">
        <w:t xml:space="preserve"> </w:t>
      </w:r>
      <w:r w:rsidR="00F2246A">
        <w:t xml:space="preserve">reicht </w:t>
      </w:r>
      <w:r w:rsidR="000370BF">
        <w:t xml:space="preserve">für den Schutz der öffentlichen Gesundheit vor den Auswirkungen von COVID-19 </w:t>
      </w:r>
      <w:r w:rsidR="005D1A7A">
        <w:t xml:space="preserve">vollumfänglich </w:t>
      </w:r>
      <w:r w:rsidR="000370BF">
        <w:t>aus.</w:t>
      </w:r>
    </w:p>
    <w:p w14:paraId="0E4D9AEF" w14:textId="5C66AFF0" w:rsidR="009146CD" w:rsidRDefault="00077582" w:rsidP="002F3A2E">
      <w:pPr>
        <w:pStyle w:val="Listenabsatz"/>
        <w:numPr>
          <w:ilvl w:val="0"/>
          <w:numId w:val="6"/>
        </w:numPr>
        <w:jc w:val="both"/>
      </w:pPr>
      <w:r>
        <w:t>Dass auf das geplante Gesetz in seiner jetzigen Form nicht einzutreten ist, weil es schwer</w:t>
      </w:r>
      <w:r>
        <w:softHyphen/>
        <w:t xml:space="preserve">wiegende rechtsstaatliche Mängel aufweist. </w:t>
      </w:r>
      <w:r w:rsidR="004A5C72">
        <w:t xml:space="preserve">Dass </w:t>
      </w:r>
      <w:r w:rsidR="00BA7A24">
        <w:t xml:space="preserve">im Falle seiner </w:t>
      </w:r>
      <w:r w:rsidR="00F2246A">
        <w:t xml:space="preserve">inhaltlichen Beratung die nachfolgend aufgezeigten </w:t>
      </w:r>
      <w:r w:rsidR="000370BF">
        <w:t xml:space="preserve">Mängel und </w:t>
      </w:r>
      <w:r w:rsidR="003E0D11">
        <w:t xml:space="preserve">Risiken </w:t>
      </w:r>
      <w:r w:rsidR="00BA7A24">
        <w:t xml:space="preserve">für die Bevölkerung </w:t>
      </w:r>
      <w:r>
        <w:t xml:space="preserve">auf jeden Fall </w:t>
      </w:r>
      <w:r w:rsidR="00F2246A">
        <w:t>zu beseitigen sind</w:t>
      </w:r>
      <w:r w:rsidR="00695EEA">
        <w:t xml:space="preserve">, </w:t>
      </w:r>
      <w:r w:rsidR="007428CF">
        <w:t xml:space="preserve">da diese </w:t>
      </w:r>
      <w:r w:rsidR="00F2246A">
        <w:t xml:space="preserve">verfassungsmässige Rechte und </w:t>
      </w:r>
      <w:r w:rsidR="007428CF">
        <w:t>Schutzgaran</w:t>
      </w:r>
      <w:r w:rsidR="00423219">
        <w:softHyphen/>
      </w:r>
      <w:r w:rsidR="007428CF">
        <w:t>tien</w:t>
      </w:r>
      <w:r w:rsidR="00F2246A">
        <w:t xml:space="preserve"> (insbesondere das Legalitäts</w:t>
      </w:r>
      <w:r w:rsidR="00423219">
        <w:t>- und das Verhältnismässigkeitsprinzip</w:t>
      </w:r>
      <w:r w:rsidR="00F2246A">
        <w:t>) verletzen</w:t>
      </w:r>
      <w:r w:rsidR="00BA7A24">
        <w:t>.</w:t>
      </w:r>
    </w:p>
    <w:p w14:paraId="6A786287" w14:textId="77777777" w:rsidR="00BB5517" w:rsidRDefault="00BB5517" w:rsidP="00BB5517">
      <w:pPr>
        <w:pStyle w:val="Listenabsatz"/>
        <w:jc w:val="both"/>
      </w:pPr>
    </w:p>
    <w:p w14:paraId="2967B231" w14:textId="347E2C39" w:rsidR="00BA7A24" w:rsidRPr="002F3A2E" w:rsidRDefault="00BA7A24">
      <w:pPr>
        <w:rPr>
          <w:b/>
        </w:rPr>
      </w:pPr>
      <w:r w:rsidRPr="002F3A2E">
        <w:rPr>
          <w:b/>
        </w:rPr>
        <w:t xml:space="preserve">Wir empfehlen daher der Bundesversammlung </w:t>
      </w:r>
    </w:p>
    <w:p w14:paraId="04ACD956" w14:textId="1F5C007F" w:rsidR="00BA7A24" w:rsidRPr="002F3A2E" w:rsidRDefault="00BA7A24" w:rsidP="002B7E6B">
      <w:pPr>
        <w:pStyle w:val="Listenabsatz"/>
        <w:numPr>
          <w:ilvl w:val="0"/>
          <w:numId w:val="7"/>
        </w:numPr>
        <w:rPr>
          <w:b/>
        </w:rPr>
      </w:pPr>
      <w:r w:rsidRPr="002F3A2E">
        <w:rPr>
          <w:b/>
        </w:rPr>
        <w:t xml:space="preserve">auf das Geschäft </w:t>
      </w:r>
      <w:r w:rsidR="005D1A7A" w:rsidRPr="002F3A2E">
        <w:rPr>
          <w:b/>
        </w:rPr>
        <w:t xml:space="preserve">mangels Dringlichkeit </w:t>
      </w:r>
      <w:r w:rsidRPr="002F3A2E">
        <w:rPr>
          <w:b/>
        </w:rPr>
        <w:t>nicht einzutreten</w:t>
      </w:r>
      <w:r w:rsidR="005D1A7A" w:rsidRPr="002F3A2E">
        <w:rPr>
          <w:b/>
        </w:rPr>
        <w:t>, resp. die Dringlichkeit abzulehnen</w:t>
      </w:r>
      <w:r w:rsidRPr="002F3A2E">
        <w:rPr>
          <w:b/>
        </w:rPr>
        <w:t>;</w:t>
      </w:r>
    </w:p>
    <w:p w14:paraId="58BC718B" w14:textId="096931F5" w:rsidR="0035011B" w:rsidRPr="002F3A2E" w:rsidRDefault="000E1A16" w:rsidP="002B7E6B">
      <w:pPr>
        <w:pStyle w:val="Listenabsatz"/>
        <w:numPr>
          <w:ilvl w:val="0"/>
          <w:numId w:val="7"/>
        </w:numPr>
        <w:rPr>
          <w:b/>
        </w:rPr>
      </w:pPr>
      <w:r w:rsidRPr="002F3A2E">
        <w:rPr>
          <w:u w:val="single"/>
        </w:rPr>
        <w:t>Eventualantrag</w:t>
      </w:r>
      <w:r w:rsidRPr="002F3A2E">
        <w:t xml:space="preserve"> </w:t>
      </w:r>
      <w:r w:rsidR="00BA7A24" w:rsidRPr="002F3A2E">
        <w:t xml:space="preserve">bei </w:t>
      </w:r>
      <w:r w:rsidR="00BA7A24" w:rsidRPr="00511B06">
        <w:t>Eintreten auf diese</w:t>
      </w:r>
      <w:r w:rsidR="00BB5517" w:rsidRPr="00511B06">
        <w:t xml:space="preserve"> Vorlage</w:t>
      </w:r>
      <w:r w:rsidR="007428CF" w:rsidRPr="00511B06">
        <w:t>:</w:t>
      </w:r>
      <w:r w:rsidRPr="002F3A2E">
        <w:rPr>
          <w:b/>
        </w:rPr>
        <w:br/>
      </w:r>
      <w:r w:rsidR="0035011B" w:rsidRPr="002F3A2E">
        <w:rPr>
          <w:b/>
        </w:rPr>
        <w:t xml:space="preserve">das Gesetz </w:t>
      </w:r>
      <w:r w:rsidR="005D1A7A" w:rsidRPr="002F3A2E">
        <w:rPr>
          <w:b/>
        </w:rPr>
        <w:t xml:space="preserve">mangels Notwendigkeit </w:t>
      </w:r>
      <w:r w:rsidR="00BB5517" w:rsidRPr="002F3A2E">
        <w:rPr>
          <w:b/>
        </w:rPr>
        <w:t xml:space="preserve">vollständig </w:t>
      </w:r>
      <w:r w:rsidR="0035011B" w:rsidRPr="002F3A2E">
        <w:rPr>
          <w:b/>
        </w:rPr>
        <w:t>abzulehnen</w:t>
      </w:r>
      <w:r w:rsidR="005D1A7A" w:rsidRPr="002F3A2E">
        <w:rPr>
          <w:b/>
        </w:rPr>
        <w:t>;</w:t>
      </w:r>
    </w:p>
    <w:p w14:paraId="6DB01817" w14:textId="19E23F21" w:rsidR="00BA7A24" w:rsidRPr="002F3A2E" w:rsidRDefault="0035011B" w:rsidP="002B7E6B">
      <w:pPr>
        <w:pStyle w:val="Listenabsatz"/>
        <w:numPr>
          <w:ilvl w:val="0"/>
          <w:numId w:val="7"/>
        </w:numPr>
      </w:pPr>
      <w:r w:rsidRPr="002F3A2E">
        <w:rPr>
          <w:u w:val="single"/>
        </w:rPr>
        <w:t>Eventualantrag</w:t>
      </w:r>
      <w:r w:rsidRPr="002F3A2E">
        <w:t xml:space="preserve"> bei grundsätzlicher Annahme dieses Gesetzes</w:t>
      </w:r>
      <w:r w:rsidR="007428CF" w:rsidRPr="002F3A2E">
        <w:t>:</w:t>
      </w:r>
    </w:p>
    <w:p w14:paraId="05D235BE" w14:textId="63563C08" w:rsidR="0035011B" w:rsidRPr="002F3A2E" w:rsidRDefault="00BA7A24" w:rsidP="002B7E6B">
      <w:pPr>
        <w:pStyle w:val="Listenabsatz"/>
        <w:rPr>
          <w:b/>
        </w:rPr>
      </w:pPr>
      <w:r w:rsidRPr="002F3A2E">
        <w:rPr>
          <w:b/>
        </w:rPr>
        <w:t xml:space="preserve">eine umfassende Überarbeitung </w:t>
      </w:r>
      <w:r w:rsidR="00077582">
        <w:rPr>
          <w:b/>
        </w:rPr>
        <w:t xml:space="preserve">oder Anpassung </w:t>
      </w:r>
      <w:r w:rsidR="00695EEA" w:rsidRPr="002F3A2E">
        <w:rPr>
          <w:b/>
        </w:rPr>
        <w:t xml:space="preserve">des Gesetzes </w:t>
      </w:r>
      <w:r w:rsidR="0035011B" w:rsidRPr="002F3A2E">
        <w:rPr>
          <w:b/>
        </w:rPr>
        <w:t xml:space="preserve">im Sinne </w:t>
      </w:r>
      <w:r w:rsidR="00D9458E" w:rsidRPr="002F3A2E">
        <w:rPr>
          <w:b/>
        </w:rPr>
        <w:t>untenstehender</w:t>
      </w:r>
      <w:r w:rsidR="0035011B" w:rsidRPr="002F3A2E">
        <w:rPr>
          <w:b/>
        </w:rPr>
        <w:t xml:space="preserve"> Ausführungen vorzunehmen</w:t>
      </w:r>
      <w:r w:rsidRPr="002F3A2E">
        <w:rPr>
          <w:b/>
        </w:rPr>
        <w:t xml:space="preserve">. </w:t>
      </w:r>
    </w:p>
    <w:p w14:paraId="21B096A5" w14:textId="50686B3D" w:rsidR="00BA7A24" w:rsidRDefault="00BA7A24" w:rsidP="002B7E6B">
      <w:pPr>
        <w:pStyle w:val="Listenabsatz"/>
      </w:pPr>
    </w:p>
    <w:p w14:paraId="367F407B" w14:textId="327C3026" w:rsidR="00414463" w:rsidRPr="002B7E6B" w:rsidRDefault="009E5E9A" w:rsidP="00414463">
      <w:pPr>
        <w:rPr>
          <w:b/>
        </w:rPr>
      </w:pPr>
      <w:r w:rsidRPr="002B7E6B">
        <w:rPr>
          <w:b/>
        </w:rPr>
        <w:lastRenderedPageBreak/>
        <w:t xml:space="preserve">Begründung </w:t>
      </w:r>
      <w:r w:rsidR="00414463" w:rsidRPr="002B7E6B">
        <w:rPr>
          <w:b/>
        </w:rPr>
        <w:t>unsere</w:t>
      </w:r>
      <w:r w:rsidRPr="002B7E6B">
        <w:rPr>
          <w:b/>
        </w:rPr>
        <w:t>r</w:t>
      </w:r>
      <w:r w:rsidR="00414463" w:rsidRPr="002B7E6B">
        <w:rPr>
          <w:b/>
        </w:rPr>
        <w:t xml:space="preserve"> Schlussfolgerungen und</w:t>
      </w:r>
      <w:r w:rsidR="00F81353" w:rsidRPr="002B7E6B">
        <w:rPr>
          <w:b/>
        </w:rPr>
        <w:t xml:space="preserve"> Empfehlungen</w:t>
      </w:r>
      <w:r w:rsidR="00414463" w:rsidRPr="002B7E6B">
        <w:rPr>
          <w:b/>
        </w:rPr>
        <w:t>:</w:t>
      </w:r>
    </w:p>
    <w:p w14:paraId="710C9E0C" w14:textId="781E2EC4" w:rsidR="00F81353" w:rsidRPr="00064172" w:rsidRDefault="00634D60" w:rsidP="00414463">
      <w:pPr>
        <w:rPr>
          <w:b/>
        </w:rPr>
      </w:pPr>
      <w:r w:rsidRPr="00064172">
        <w:rPr>
          <w:b/>
        </w:rPr>
        <w:t xml:space="preserve">1.) </w:t>
      </w:r>
      <w:r w:rsidR="009E5E9A" w:rsidRPr="00064172">
        <w:rPr>
          <w:b/>
        </w:rPr>
        <w:t xml:space="preserve">Zu </w:t>
      </w:r>
      <w:r w:rsidR="00414463" w:rsidRPr="00064172">
        <w:rPr>
          <w:b/>
        </w:rPr>
        <w:t>Schlussfolgerung 1</w:t>
      </w:r>
      <w:r w:rsidR="00414463" w:rsidRPr="00064172">
        <w:rPr>
          <w:b/>
        </w:rPr>
        <w:tab/>
      </w:r>
      <w:r w:rsidR="006276F7" w:rsidRPr="00064172">
        <w:rPr>
          <w:b/>
        </w:rPr>
        <w:br/>
      </w:r>
      <w:r w:rsidR="00414463" w:rsidRPr="00064172">
        <w:rPr>
          <w:b/>
        </w:rPr>
        <w:t xml:space="preserve">Fehlende </w:t>
      </w:r>
      <w:r w:rsidR="00F81353" w:rsidRPr="00064172">
        <w:rPr>
          <w:b/>
        </w:rPr>
        <w:t>Dringlichkeit im</w:t>
      </w:r>
      <w:r w:rsidR="00414463" w:rsidRPr="00064172">
        <w:rPr>
          <w:b/>
        </w:rPr>
        <w:t xml:space="preserve"> </w:t>
      </w:r>
      <w:r w:rsidR="00F81353" w:rsidRPr="00064172">
        <w:rPr>
          <w:b/>
        </w:rPr>
        <w:t xml:space="preserve">Sinne von Art. </w:t>
      </w:r>
      <w:r w:rsidR="00414463" w:rsidRPr="00064172">
        <w:rPr>
          <w:b/>
        </w:rPr>
        <w:t xml:space="preserve">165 </w:t>
      </w:r>
      <w:r w:rsidR="00F81353" w:rsidRPr="00064172">
        <w:rPr>
          <w:b/>
        </w:rPr>
        <w:t>BV</w:t>
      </w:r>
    </w:p>
    <w:p w14:paraId="29E6829D" w14:textId="7E49F2AB" w:rsidR="00414463" w:rsidRDefault="009E5E9A" w:rsidP="005C7B26">
      <w:pPr>
        <w:jc w:val="both"/>
      </w:pPr>
      <w:r>
        <w:t>Gemäss Artikel 13 der Vorlage soll das Gesetz für dringlich erklärt werden im Sinne von Art. 165 Abs.</w:t>
      </w:r>
      <w:r w:rsidR="0076005B">
        <w:t> </w:t>
      </w:r>
      <w:r>
        <w:t xml:space="preserve">1 BV. Eine </w:t>
      </w:r>
      <w:proofErr w:type="spellStart"/>
      <w:r>
        <w:t>Dringlicherklärung</w:t>
      </w:r>
      <w:proofErr w:type="spellEnd"/>
      <w:r>
        <w:t xml:space="preserve"> nach Art. 165 Abs. 1 BV </w:t>
      </w:r>
      <w:r w:rsidR="005D1A7A">
        <w:t xml:space="preserve">würde </w:t>
      </w:r>
      <w:r>
        <w:t>voraus</w:t>
      </w:r>
      <w:r w:rsidR="005D1A7A">
        <w:t>setzen</w:t>
      </w:r>
      <w:r>
        <w:t>, dass nicht wiedergutzumachende Nachteile drohen, sollte das Gesetz nicht unmittelbar Geltung erlangen</w:t>
      </w:r>
      <w:r w:rsidR="00C9289D">
        <w:t xml:space="preserve"> (</w:t>
      </w:r>
      <w:proofErr w:type="spellStart"/>
      <w:r w:rsidR="00C9289D">
        <w:t>Tschannen</w:t>
      </w:r>
      <w:proofErr w:type="spellEnd"/>
      <w:r w:rsidR="00C9289D">
        <w:t xml:space="preserve"> in St. Galler Kommentar zur Bundesverfassung, N. 6 zu Art. 165, 3. Auflage 2014). Im Zusammenhang mit COVID-19 </w:t>
      </w:r>
      <w:r w:rsidR="00634D60">
        <w:t>bedeutet dies: Der</w:t>
      </w:r>
      <w:r w:rsidR="00C9289D" w:rsidRPr="002B7E6B">
        <w:rPr>
          <w:i/>
        </w:rPr>
        <w:t xml:space="preserve"> </w:t>
      </w:r>
      <w:r w:rsidR="00C9289D" w:rsidRPr="005D1A7A">
        <w:t xml:space="preserve">Bundesrat </w:t>
      </w:r>
      <w:r w:rsidR="00634D60" w:rsidRPr="005D1A7A">
        <w:t>hätte</w:t>
      </w:r>
      <w:r w:rsidR="00E76C0A">
        <w:rPr>
          <w:i/>
        </w:rPr>
        <w:t xml:space="preserve"> </w:t>
      </w:r>
      <w:r w:rsidR="00C9289D" w:rsidRPr="002B7E6B">
        <w:rPr>
          <w:i/>
        </w:rPr>
        <w:t>nachzuweisen, dass nicht wiedergutzumachende Nachteile für die öffentliche Gesundheit drohen, würde dieses Gesetz nicht für dringlich erklärt</w:t>
      </w:r>
      <w:r w:rsidR="00C9289D">
        <w:t xml:space="preserve">. </w:t>
      </w:r>
    </w:p>
    <w:p w14:paraId="6C2F1E04" w14:textId="75EF7C4F" w:rsidR="00A052AE" w:rsidRPr="00A052AE" w:rsidRDefault="00C9289D" w:rsidP="005C7B26">
      <w:pPr>
        <w:jc w:val="both"/>
      </w:pPr>
      <w:r>
        <w:t>Diesen Nachweis hat der Bundesrat nicht erbracht.</w:t>
      </w:r>
      <w:r w:rsidR="00A052AE">
        <w:t xml:space="preserve"> Er hat nicht einmal den Versuch unternommen, </w:t>
      </w:r>
      <w:r w:rsidR="00A052AE" w:rsidRPr="00A052AE">
        <w:t>ihn zu erbringen. Er ist in dieser Hinsicht in keiner Art und Weise tätig geworden.</w:t>
      </w:r>
    </w:p>
    <w:p w14:paraId="0D21A893" w14:textId="5AD9B7D2" w:rsidR="009E5E9A" w:rsidRDefault="00A052AE" w:rsidP="005C7B26">
      <w:pPr>
        <w:jc w:val="both"/>
      </w:pPr>
      <w:r>
        <w:t>Damit missachtet er die Beweispflicht, die im Rechtsstaat jener Instanz obliegt,</w:t>
      </w:r>
      <w:r w:rsidR="0076005B">
        <w:t xml:space="preserve"> </w:t>
      </w:r>
      <w:r>
        <w:t>die</w:t>
      </w:r>
      <w:r w:rsidRPr="00A052AE">
        <w:t xml:space="preserve"> Dringlichkeit behauptet und Grundrechte zu beschneiden gedenkt, sei es auch nur zeitweilig (Art. </w:t>
      </w:r>
      <w:proofErr w:type="gramStart"/>
      <w:r w:rsidRPr="00A052AE">
        <w:t>2  Abs.</w:t>
      </w:r>
      <w:proofErr w:type="gramEnd"/>
      <w:r w:rsidRPr="00A052AE">
        <w:t xml:space="preserve"> 4 des Entwurfes). Dies ist umso unbegreiflicher, als der Bundesrat seinen verfassungsrechtlich gebotenen Beweispflichten </w:t>
      </w:r>
      <w:r w:rsidR="0076005B">
        <w:t xml:space="preserve">während der Corona-Krise </w:t>
      </w:r>
      <w:r w:rsidRPr="00A052AE">
        <w:t>noch nie</w:t>
      </w:r>
      <w:r w:rsidR="0076005B">
        <w:t>mals</w:t>
      </w:r>
      <w:r w:rsidRPr="00A052AE">
        <w:t xml:space="preserve">, also </w:t>
      </w:r>
      <w:r w:rsidR="0076005B">
        <w:t>seit</w:t>
      </w:r>
      <w:r w:rsidRPr="00A052AE">
        <w:t xml:space="preserve"> Anbeginn seiner oktroyierten Massnahmen nicht nachgekommen ist. Die verfassungswidrigen Grundrechtsbeschneidungen (Versammlungsfreiheit, Bewegungsfreiheit, Meinungsäusserungsfreiheit, Vereinsfreiheit, Familienfreiheit, wirtschaftliche Betätigungsfreiheit u.a.m</w:t>
      </w:r>
      <w:r w:rsidR="009260E6">
        <w:t>.</w:t>
      </w:r>
      <w:r w:rsidRPr="00A052AE">
        <w:t>) dauern nun schon mehrere Monate an, ohne dass die Exekutive auch nur Anstalten macht, ihren Beweislasten nachzukommen. Stattdessen hat sie ausländische Lagebeurteilungen kopf- und kritiklos übernommen und ausländische Mass</w:t>
      </w:r>
      <w:r w:rsidR="0076005B">
        <w:softHyphen/>
      </w:r>
      <w:r w:rsidRPr="00A052AE">
        <w:t xml:space="preserve">nahmen ungeprüft in der Schweiz ebenfalls erlassen und umgesetzt. Damit hat sie  schweizerische Souveränität mit Füssen getreten, anstatt dem Auftrag nachzukommen, für den sie gewählt ist: eine eigene, kritische Lagebeurteilung zu erstellen, die </w:t>
      </w:r>
      <w:r w:rsidR="0076005B">
        <w:t>verschieden</w:t>
      </w:r>
      <w:r w:rsidRPr="00A052AE">
        <w:t xml:space="preserve">e Seiten der </w:t>
      </w:r>
      <w:r w:rsidR="0076005B">
        <w:t xml:space="preserve">alles andere als einheitlichen </w:t>
      </w:r>
      <w:r w:rsidRPr="00A052AE">
        <w:t xml:space="preserve">wissenschaftlichen Expertise zu Wort kommen </w:t>
      </w:r>
      <w:r w:rsidRPr="0013604E">
        <w:t>lässt (</w:t>
      </w:r>
      <w:r w:rsidR="003D3DB0" w:rsidRPr="0013604E">
        <w:t xml:space="preserve">Dr. med. </w:t>
      </w:r>
      <w:r w:rsidRPr="0013604E">
        <w:t xml:space="preserve">Claus </w:t>
      </w:r>
      <w:proofErr w:type="spellStart"/>
      <w:r w:rsidRPr="0013604E">
        <w:t>Köhnlein</w:t>
      </w:r>
      <w:proofErr w:type="spellEnd"/>
      <w:r w:rsidRPr="0013604E">
        <w:t xml:space="preserve">, </w:t>
      </w:r>
      <w:r w:rsidR="003B1582" w:rsidRPr="0013604E">
        <w:t xml:space="preserve">Prof. Dr. </w:t>
      </w:r>
      <w:proofErr w:type="spellStart"/>
      <w:r w:rsidR="003D3DB0" w:rsidRPr="0013604E">
        <w:t>Hendrick</w:t>
      </w:r>
      <w:proofErr w:type="spellEnd"/>
      <w:r w:rsidR="003D3DB0" w:rsidRPr="0013604E">
        <w:t xml:space="preserve"> </w:t>
      </w:r>
      <w:proofErr w:type="spellStart"/>
      <w:r w:rsidR="003D3DB0" w:rsidRPr="0013604E">
        <w:t>Streeck</w:t>
      </w:r>
      <w:proofErr w:type="spellEnd"/>
      <w:r w:rsidR="003D3DB0" w:rsidRPr="0013604E">
        <w:t xml:space="preserve">; Prof. Dr. </w:t>
      </w:r>
      <w:proofErr w:type="spellStart"/>
      <w:r w:rsidRPr="0013604E">
        <w:t>Sucharit</w:t>
      </w:r>
      <w:proofErr w:type="spellEnd"/>
      <w:r w:rsidRPr="0013604E">
        <w:t xml:space="preserve"> </w:t>
      </w:r>
      <w:proofErr w:type="spellStart"/>
      <w:r w:rsidRPr="0013604E">
        <w:t>Bhakdi</w:t>
      </w:r>
      <w:proofErr w:type="spellEnd"/>
      <w:r w:rsidRPr="0013604E">
        <w:t xml:space="preserve">, </w:t>
      </w:r>
      <w:r w:rsidR="00E43120" w:rsidRPr="0013604E">
        <w:t xml:space="preserve">Prof. Dr. Klaus Püschel; </w:t>
      </w:r>
      <w:r w:rsidR="003D3DB0" w:rsidRPr="0013604E">
        <w:t xml:space="preserve">Dr. </w:t>
      </w:r>
      <w:r w:rsidRPr="0013604E">
        <w:t xml:space="preserve">Wolfgang </w:t>
      </w:r>
      <w:proofErr w:type="spellStart"/>
      <w:r w:rsidRPr="0013604E">
        <w:t>Wodarg</w:t>
      </w:r>
      <w:proofErr w:type="spellEnd"/>
      <w:r w:rsidRPr="0013604E">
        <w:t xml:space="preserve">, </w:t>
      </w:r>
      <w:r w:rsidR="003D3DB0" w:rsidRPr="0013604E">
        <w:t xml:space="preserve">Prof. Dr. John </w:t>
      </w:r>
      <w:proofErr w:type="spellStart"/>
      <w:r w:rsidR="003D3DB0" w:rsidRPr="0013604E">
        <w:t>Ioannidis</w:t>
      </w:r>
      <w:proofErr w:type="spellEnd"/>
      <w:r w:rsidR="003D3DB0" w:rsidRPr="0013604E">
        <w:t>; Prof. Dr. Knut Wittkowski</w:t>
      </w:r>
      <w:r w:rsidR="00E43120" w:rsidRPr="0013604E">
        <w:t xml:space="preserve">; Prof. Dr. </w:t>
      </w:r>
      <w:proofErr w:type="spellStart"/>
      <w:r w:rsidR="00E43120" w:rsidRPr="0013604E">
        <w:t>Doron</w:t>
      </w:r>
      <w:proofErr w:type="spellEnd"/>
      <w:r w:rsidR="00E43120" w:rsidRPr="0013604E">
        <w:t xml:space="preserve"> Lancet</w:t>
      </w:r>
      <w:r w:rsidR="0076005B" w:rsidRPr="0013604E">
        <w:t xml:space="preserve"> und viele andere mehr</w:t>
      </w:r>
      <w:r w:rsidRPr="0013604E">
        <w:t>). Auf diese Weise kam es zum Erlass unverhält</w:t>
      </w:r>
      <w:r w:rsidR="0076005B" w:rsidRPr="0013604E">
        <w:t>n</w:t>
      </w:r>
      <w:r w:rsidRPr="0013604E">
        <w:t>ismässiger, weil nicht erforderlicher Massnahmen. Dieses Vorgehen verstösst gegen die Art. 5 Abs. 2, 9 und 36 Abs. 3 der Bundesverfassung</w:t>
      </w:r>
      <w:r w:rsidR="0076005B" w:rsidRPr="0013604E">
        <w:t xml:space="preserve">. </w:t>
      </w:r>
      <w:r w:rsidR="00511B06" w:rsidRPr="00511B06">
        <w:t>Es muss demnach vom Parlament unbedingt korrigiert werden, um weitere Verletzungen wesentlicher verfassungsmässiger Grundsätze (Verhältnismässigkeit etc.) wenigstens für die Zukunft auszuschliessen.</w:t>
      </w:r>
      <w:r w:rsidRPr="00A052AE">
        <w:t xml:space="preserve"> </w:t>
      </w:r>
    </w:p>
    <w:p w14:paraId="2B346F00" w14:textId="2983ED10" w:rsidR="00FA0C7C" w:rsidRDefault="00713C58" w:rsidP="005C7B26">
      <w:pPr>
        <w:jc w:val="both"/>
      </w:pPr>
      <w:r>
        <w:t xml:space="preserve">Die </w:t>
      </w:r>
      <w:r w:rsidR="00634D60">
        <w:t>täglichen BAG-Berichte</w:t>
      </w:r>
      <w:r>
        <w:t xml:space="preserve"> </w:t>
      </w:r>
      <w:r w:rsidR="00634D60">
        <w:t>betreffend</w:t>
      </w:r>
      <w:r>
        <w:t xml:space="preserve"> Hospitalisierungen und Todesfälle </w:t>
      </w:r>
      <w:r w:rsidR="00634D60">
        <w:t>weisen</w:t>
      </w:r>
      <w:r>
        <w:t xml:space="preserve"> seit anfangs Mai </w:t>
      </w:r>
      <w:r w:rsidR="00634D60">
        <w:t>nur noch minimale Zahlen</w:t>
      </w:r>
      <w:r w:rsidR="005D1A7A">
        <w:t xml:space="preserve"> aus</w:t>
      </w:r>
      <w:r w:rsidR="00634D60">
        <w:t>.</w:t>
      </w:r>
      <w:r>
        <w:t xml:space="preserve"> </w:t>
      </w:r>
      <w:r w:rsidR="00634D60">
        <w:t xml:space="preserve">Für </w:t>
      </w:r>
      <w:r>
        <w:t xml:space="preserve">Spitäler und Ärzte in der Schweiz </w:t>
      </w:r>
      <w:r w:rsidR="00634D60">
        <w:t xml:space="preserve">ist </w:t>
      </w:r>
      <w:r>
        <w:t xml:space="preserve">das Phänomen COVID-19 als eigenständige erhebliche Bedrohung für die </w:t>
      </w:r>
      <w:r w:rsidR="00CE6D99">
        <w:t xml:space="preserve">öffentliche </w:t>
      </w:r>
      <w:r>
        <w:t>Gesundheit</w:t>
      </w:r>
      <w:r w:rsidR="00E76C0A">
        <w:t xml:space="preserve"> (</w:t>
      </w:r>
      <w:r w:rsidR="00FA0C7C">
        <w:t xml:space="preserve">resp. Bedrohung </w:t>
      </w:r>
      <w:r>
        <w:t>für die Infrastruktur</w:t>
      </w:r>
      <w:r w:rsidR="00E76C0A">
        <w:t>)</w:t>
      </w:r>
      <w:r>
        <w:t xml:space="preserve"> nicht mehr wahrnehm</w:t>
      </w:r>
      <w:r w:rsidR="00634D60">
        <w:t>bar</w:t>
      </w:r>
      <w:r w:rsidR="005D1A7A">
        <w:t xml:space="preserve"> - </w:t>
      </w:r>
      <w:r w:rsidR="00634D60">
        <w:t xml:space="preserve">abgesehen von </w:t>
      </w:r>
      <w:r w:rsidR="005D1A7A">
        <w:t>einer tiefgreifenden</w:t>
      </w:r>
      <w:r w:rsidR="00634D60">
        <w:t xml:space="preserve"> Verängstigung in der Bevölkerung</w:t>
      </w:r>
      <w:r w:rsidR="00A052AE">
        <w:t>, die</w:t>
      </w:r>
      <w:r w:rsidR="0076005B">
        <w:t xml:space="preserve"> massgeblich auf die zu diesem Zweck geführten, ständigen Kampagnen des B</w:t>
      </w:r>
      <w:r w:rsidR="00A052AE">
        <w:t>undesr</w:t>
      </w:r>
      <w:r w:rsidR="0076005B">
        <w:t>ats</w:t>
      </w:r>
      <w:r w:rsidR="00A052AE">
        <w:t>, de</w:t>
      </w:r>
      <w:r w:rsidR="0076005B">
        <w:t>r</w:t>
      </w:r>
      <w:r w:rsidR="00A052AE">
        <w:t xml:space="preserve"> SRF und </w:t>
      </w:r>
      <w:r w:rsidR="008F7D39">
        <w:t>de</w:t>
      </w:r>
      <w:r w:rsidR="0076005B">
        <w:t>r</w:t>
      </w:r>
      <w:r w:rsidR="008F7D39">
        <w:t xml:space="preserve"> </w:t>
      </w:r>
      <w:r w:rsidR="00A052AE">
        <w:t>Presse</w:t>
      </w:r>
      <w:r w:rsidR="0076005B">
        <w:t xml:space="preserve"> zurückzuführen sind</w:t>
      </w:r>
      <w:r>
        <w:t xml:space="preserve">. </w:t>
      </w:r>
      <w:r w:rsidR="00634D60">
        <w:t xml:space="preserve">Zwischenzeitlich </w:t>
      </w:r>
      <w:r w:rsidR="00E76C0A">
        <w:t>hat sich d</w:t>
      </w:r>
      <w:r>
        <w:t xml:space="preserve">ie Diskussion </w:t>
      </w:r>
      <w:r w:rsidR="00634D60">
        <w:t>von den effektiv erkrankten und verstorbenen Personen völlig entfernt</w:t>
      </w:r>
      <w:r w:rsidR="005D1A7A">
        <w:t xml:space="preserve"> und auf die</w:t>
      </w:r>
      <w:r w:rsidR="00634D60">
        <w:t xml:space="preserve"> Thematik</w:t>
      </w:r>
      <w:r>
        <w:t xml:space="preserve"> </w:t>
      </w:r>
      <w:r w:rsidR="00634D60">
        <w:t xml:space="preserve">der </w:t>
      </w:r>
      <w:r>
        <w:t>Tests</w:t>
      </w:r>
      <w:r w:rsidR="0076005B">
        <w:t xml:space="preserve"> verlagert</w:t>
      </w:r>
      <w:r w:rsidR="005D1A7A">
        <w:t>:</w:t>
      </w:r>
      <w:r w:rsidR="00E76C0A">
        <w:t xml:space="preserve"> </w:t>
      </w:r>
      <w:r w:rsidR="00634D60">
        <w:t>„</w:t>
      </w:r>
      <w:r w:rsidR="005D1A7A">
        <w:t>Anzahl p</w:t>
      </w:r>
      <w:r w:rsidR="00634D60">
        <w:t>ositiv getestete Personen</w:t>
      </w:r>
      <w:r w:rsidR="005D1A7A">
        <w:t xml:space="preserve"> pro Tag</w:t>
      </w:r>
      <w:r w:rsidR="00634D60">
        <w:t>“</w:t>
      </w:r>
      <w:r w:rsidR="005D1A7A">
        <w:t>. Diese oberflächliche Betrachtungsweise wird der effektiven Bedrohungslage durch COVID-19 aus zahlreichen Gründen nicht gerecht.</w:t>
      </w:r>
    </w:p>
    <w:p w14:paraId="136C7934" w14:textId="4596DF1C" w:rsidR="00713C58" w:rsidRDefault="00CE6D99" w:rsidP="005C7B26">
      <w:pPr>
        <w:jc w:val="both"/>
      </w:pPr>
      <w:r>
        <w:t xml:space="preserve">Einerseits </w:t>
      </w:r>
      <w:r w:rsidR="005D1A7A">
        <w:t xml:space="preserve">hängt diese Messgrösse (Anzahl positiv getestete Personen) von der Anzahl der durchgeführten Tests ab. Diese ist in den letzten Wochen </w:t>
      </w:r>
      <w:r w:rsidR="00B519B9">
        <w:t xml:space="preserve">aber </w:t>
      </w:r>
      <w:r w:rsidR="005D1A7A">
        <w:t xml:space="preserve">stetig </w:t>
      </w:r>
      <w:r w:rsidR="00B519B9">
        <w:t xml:space="preserve">auf ein hohes Mass </w:t>
      </w:r>
      <w:r w:rsidR="005D1A7A">
        <w:t xml:space="preserve">gestiegen. </w:t>
      </w:r>
      <w:r w:rsidR="00077582">
        <w:t xml:space="preserve">Setzt man jedoch die positiven Testergebnisse ins Verhältnis zur Zahl der vorgenommenen Tests, ergibt sich keine Steigerung, sondern ein gleichbleibender Anteil von unter einem Prozent. Das wird aber </w:t>
      </w:r>
      <w:r w:rsidR="00077582">
        <w:lastRenderedPageBreak/>
        <w:t xml:space="preserve">verschwiegen und zusätzlich noch dadurch verschleiert, dass von steigenden «Fallzahlen» die Rede ist. Es handelt sich aber gerade um keine «Krankheitsfälle» (mit Symptomen), sondern nur um positive Testergebnisse. </w:t>
      </w:r>
      <w:r w:rsidR="005D1A7A">
        <w:t xml:space="preserve">Zweitens </w:t>
      </w:r>
      <w:r>
        <w:t>wurden diese Tests niemals von einer unabhängigen Instanz validiert</w:t>
      </w:r>
      <w:r w:rsidR="005D1A7A">
        <w:t>,</w:t>
      </w:r>
      <w:r>
        <w:t xml:space="preserve"> und ihre Treffergenauigkeit ist in der Fachwelt mehr als </w:t>
      </w:r>
      <w:r w:rsidR="00634D60">
        <w:t xml:space="preserve">bloss </w:t>
      </w:r>
      <w:r>
        <w:t>umstritten (</w:t>
      </w:r>
      <w:r w:rsidR="00B519B9" w:rsidRPr="00B519B9">
        <w:t xml:space="preserve">https:// </w:t>
      </w:r>
      <w:hyperlink r:id="rId8" w:history="1">
        <w:r w:rsidR="00B519B9" w:rsidRPr="00B519B9">
          <w:rPr>
            <w:rStyle w:val="Hyperlink"/>
          </w:rPr>
          <w:t>www.youtube.com/watch?v=MGfBlWX2m0U&amp;feature=youtu.be</w:t>
        </w:r>
      </w:hyperlink>
      <w:r w:rsidR="00B519B9" w:rsidRPr="00B519B9">
        <w:t xml:space="preserve"> </w:t>
      </w:r>
      <w:r w:rsidR="00E43120">
        <w:t>[</w:t>
      </w:r>
      <w:r w:rsidR="00B519B9" w:rsidRPr="00B519B9">
        <w:t>ab Min. 2</w:t>
      </w:r>
      <w:r w:rsidR="00E43120">
        <w:t>]</w:t>
      </w:r>
      <w:r>
        <w:t xml:space="preserve">). </w:t>
      </w:r>
      <w:r w:rsidR="005D1A7A">
        <w:t>Drittens</w:t>
      </w:r>
      <w:r>
        <w:t xml:space="preserve"> ist die Zahl der Fälle mit COVID-19-bedingten schwerwiegenden Komplikationen mittlerweile statistisch </w:t>
      </w:r>
      <w:r w:rsidR="005D1A7A">
        <w:t>dermassen</w:t>
      </w:r>
      <w:r>
        <w:t xml:space="preserve"> </w:t>
      </w:r>
      <w:r w:rsidR="005D1A7A">
        <w:t>tief</w:t>
      </w:r>
      <w:r w:rsidR="00E76C0A">
        <w:t>, dass d</w:t>
      </w:r>
      <w:r w:rsidR="00FA0C7C">
        <w:t xml:space="preserve">ie </w:t>
      </w:r>
      <w:r w:rsidR="00FA0C7C" w:rsidRPr="00926486">
        <w:t>Testergebnisse</w:t>
      </w:r>
      <w:r w:rsidR="003866AA" w:rsidRPr="00926486">
        <w:t xml:space="preserve"> (Anzahl positiv getestete Personen)</w:t>
      </w:r>
      <w:r w:rsidR="00FA0C7C" w:rsidRPr="00926486">
        <w:t xml:space="preserve"> </w:t>
      </w:r>
      <w:r w:rsidR="00B519B9" w:rsidRPr="00926486">
        <w:t>in</w:t>
      </w:r>
      <w:r w:rsidR="00B519B9">
        <w:t xml:space="preserve"> keiner Weise </w:t>
      </w:r>
      <w:r w:rsidR="003866AA">
        <w:t xml:space="preserve">als genügend </w:t>
      </w:r>
      <w:r w:rsidR="00B519B9">
        <w:t>anerkannt werden</w:t>
      </w:r>
      <w:r w:rsidR="00634D60">
        <w:t xml:space="preserve"> können</w:t>
      </w:r>
      <w:r w:rsidR="00E76C0A">
        <w:t xml:space="preserve"> </w:t>
      </w:r>
      <w:r w:rsidR="003866AA">
        <w:t>als Erfüllung der</w:t>
      </w:r>
      <w:r w:rsidR="0016168F">
        <w:t xml:space="preserve"> dem Bundesrat obliegenden</w:t>
      </w:r>
      <w:r w:rsidR="00B519B9">
        <w:t xml:space="preserve"> </w:t>
      </w:r>
      <w:r w:rsidR="0016168F">
        <w:t xml:space="preserve">Beweislast für </w:t>
      </w:r>
      <w:r w:rsidR="00FA0C7C">
        <w:t>eine effektiv erhebliche</w:t>
      </w:r>
      <w:r w:rsidR="0076005B">
        <w:t xml:space="preserve"> </w:t>
      </w:r>
      <w:r w:rsidR="00FA0C7C">
        <w:t xml:space="preserve">Bedrohung </w:t>
      </w:r>
      <w:r w:rsidR="0016168F">
        <w:t xml:space="preserve">der </w:t>
      </w:r>
      <w:r w:rsidR="0016168F" w:rsidRPr="00CE6D99">
        <w:t>öffentliche</w:t>
      </w:r>
      <w:r w:rsidR="0016168F">
        <w:t>n</w:t>
      </w:r>
      <w:r w:rsidR="0016168F" w:rsidRPr="00CE6D99">
        <w:t xml:space="preserve"> </w:t>
      </w:r>
      <w:r w:rsidR="00FA0C7C" w:rsidRPr="00CE6D99">
        <w:t>Gesundheit</w:t>
      </w:r>
      <w:r w:rsidR="008F7D39">
        <w:t>,</w:t>
      </w:r>
      <w:r w:rsidR="00FA0C7C" w:rsidRPr="00CE6D99">
        <w:t xml:space="preserve"> </w:t>
      </w:r>
      <w:r w:rsidR="0016168F">
        <w:t>respektive der Krankenpflegeeinrichtungen</w:t>
      </w:r>
      <w:r w:rsidR="00FA0C7C">
        <w:t>.</w:t>
      </w:r>
      <w:r w:rsidR="00077582">
        <w:t xml:space="preserve"> </w:t>
      </w:r>
    </w:p>
    <w:p w14:paraId="5EB8DB42" w14:textId="28004C6C" w:rsidR="00634D60" w:rsidRPr="002B7E6B" w:rsidRDefault="00634D60" w:rsidP="005C7B26">
      <w:pPr>
        <w:jc w:val="both"/>
        <w:rPr>
          <w:b/>
        </w:rPr>
      </w:pPr>
      <w:r w:rsidRPr="002B7E6B">
        <w:rPr>
          <w:b/>
        </w:rPr>
        <w:t>Die stete Berufung auf die Testergebnisse seitens Bundesrat ist deshalb im Fall von COVID-19 irreführend und zur Rechtfertigung besonderer Kompetenzen nicht geeignet.</w:t>
      </w:r>
    </w:p>
    <w:p w14:paraId="66763C92" w14:textId="0555CC13" w:rsidR="00FA0C7C" w:rsidRDefault="00FA0C7C" w:rsidP="005C7B26">
      <w:pPr>
        <w:jc w:val="both"/>
      </w:pPr>
      <w:r>
        <w:t xml:space="preserve">Um unter den gegenwärtigen Umständen tatsächlich erkrankte Personen wirksam zu behandeln und um die Verbreitung des grippeähnlichen Phänomens COVID-19 zu hemmen, ist es in keiner Weise erforderlich, </w:t>
      </w:r>
      <w:r w:rsidR="002757C6">
        <w:t>da</w:t>
      </w:r>
      <w:r w:rsidR="00E76C0A">
        <w:t>s</w:t>
      </w:r>
      <w:r w:rsidR="002757C6">
        <w:t>s der Bundesrat besondere Kompetenzen</w:t>
      </w:r>
      <w:r>
        <w:t xml:space="preserve"> auf der Basis von Art. </w:t>
      </w:r>
      <w:r w:rsidR="005D1A7A">
        <w:t xml:space="preserve">7 oder </w:t>
      </w:r>
      <w:r>
        <w:t xml:space="preserve">6 </w:t>
      </w:r>
      <w:proofErr w:type="spellStart"/>
      <w:r>
        <w:t>Epidemiengesetz</w:t>
      </w:r>
      <w:proofErr w:type="spellEnd"/>
      <w:r>
        <w:t xml:space="preserve"> (</w:t>
      </w:r>
      <w:r w:rsidR="005D1A7A">
        <w:t xml:space="preserve">Ausserordentliche oder </w:t>
      </w:r>
      <w:r>
        <w:t xml:space="preserve">Besondere Lage) </w:t>
      </w:r>
      <w:r w:rsidR="002757C6">
        <w:t xml:space="preserve">beansprucht. Die täglich aufs </w:t>
      </w:r>
      <w:r w:rsidR="00077582">
        <w:t>N</w:t>
      </w:r>
      <w:r w:rsidR="002757C6">
        <w:t xml:space="preserve">eue vom BAG bestätigten tiefen Hospitalisierungs- und Todesfallzahlen </w:t>
      </w:r>
      <w:r w:rsidR="00E76C0A">
        <w:t>sowie</w:t>
      </w:r>
      <w:r w:rsidR="002757C6">
        <w:t xml:space="preserve"> die Erkenntnis, dass COVID-19 für sich allein die öffentliche Gesundheit nicht erheblich bedroht, hätten längst zu einer Beendigung </w:t>
      </w:r>
      <w:r w:rsidR="005D1A7A">
        <w:t xml:space="preserve">auch </w:t>
      </w:r>
      <w:r w:rsidR="002757C6">
        <w:t xml:space="preserve">der </w:t>
      </w:r>
      <w:proofErr w:type="spellStart"/>
      <w:r w:rsidR="002757C6">
        <w:t>Besonderen</w:t>
      </w:r>
      <w:proofErr w:type="spellEnd"/>
      <w:r w:rsidR="002757C6">
        <w:t xml:space="preserve"> Lage </w:t>
      </w:r>
      <w:r w:rsidR="00E76C0A">
        <w:t>(</w:t>
      </w:r>
      <w:r w:rsidR="002757C6">
        <w:t xml:space="preserve">Art. 6 </w:t>
      </w:r>
      <w:proofErr w:type="spellStart"/>
      <w:r w:rsidR="002757C6">
        <w:t>Ep</w:t>
      </w:r>
      <w:r w:rsidR="00E76C0A">
        <w:t>G</w:t>
      </w:r>
      <w:proofErr w:type="spellEnd"/>
      <w:r w:rsidR="00E76C0A">
        <w:t>)</w:t>
      </w:r>
      <w:r w:rsidR="002757C6">
        <w:t xml:space="preserve"> führen müssen.</w:t>
      </w:r>
    </w:p>
    <w:p w14:paraId="1E7F49A6" w14:textId="4782B963" w:rsidR="00E76C0A" w:rsidRDefault="005D1A7A" w:rsidP="005C7B26">
      <w:pPr>
        <w:jc w:val="both"/>
      </w:pPr>
      <w:r>
        <w:t xml:space="preserve">Obwohl es </w:t>
      </w:r>
      <w:r w:rsidR="00634D60">
        <w:t>evident</w:t>
      </w:r>
      <w:r>
        <w:t xml:space="preserve"> ist</w:t>
      </w:r>
      <w:r w:rsidR="00634D60">
        <w:t xml:space="preserve">, dass von COVID-19 </w:t>
      </w:r>
      <w:r w:rsidR="00634D60" w:rsidRPr="002B7E6B">
        <w:rPr>
          <w:b/>
        </w:rPr>
        <w:t>keine erhebliche Gefahr</w:t>
      </w:r>
      <w:r w:rsidR="00634D60">
        <w:t xml:space="preserve"> </w:t>
      </w:r>
      <w:r>
        <w:t xml:space="preserve">mehr </w:t>
      </w:r>
      <w:r w:rsidR="00634D60">
        <w:t xml:space="preserve">ausgeht für </w:t>
      </w:r>
      <w:r w:rsidR="00634D60" w:rsidRPr="00EA3101">
        <w:rPr>
          <w:b/>
        </w:rPr>
        <w:t xml:space="preserve">die öffentliche Gesundheit und für die </w:t>
      </w:r>
      <w:r w:rsidR="00634D60">
        <w:rPr>
          <w:b/>
        </w:rPr>
        <w:t>Spitali</w:t>
      </w:r>
      <w:r w:rsidR="00634D60" w:rsidRPr="00EA3101">
        <w:rPr>
          <w:b/>
        </w:rPr>
        <w:t>nfrastruktur</w:t>
      </w:r>
      <w:r>
        <w:rPr>
          <w:b/>
        </w:rPr>
        <w:t xml:space="preserve">, hat </w:t>
      </w:r>
      <w:r>
        <w:t>der</w:t>
      </w:r>
      <w:r w:rsidR="002757C6">
        <w:t xml:space="preserve"> Bundesrat </w:t>
      </w:r>
      <w:r w:rsidR="00E76C0A">
        <w:t>zu keinem Zeitpunkt</w:t>
      </w:r>
      <w:r w:rsidR="002757C6">
        <w:t xml:space="preserve"> triftige</w:t>
      </w:r>
      <w:r w:rsidR="00E76C0A">
        <w:t xml:space="preserve"> und </w:t>
      </w:r>
      <w:r w:rsidR="002757C6">
        <w:t xml:space="preserve">wissenschaftlich </w:t>
      </w:r>
      <w:r w:rsidR="00E76C0A">
        <w:t>überprüfbare</w:t>
      </w:r>
      <w:r w:rsidR="002757C6">
        <w:t xml:space="preserve"> Gründe vorgebracht, um die </w:t>
      </w:r>
      <w:r>
        <w:t xml:space="preserve">Aufrechterhaltung </w:t>
      </w:r>
      <w:r w:rsidR="002757C6">
        <w:t xml:space="preserve">seiner </w:t>
      </w:r>
      <w:r>
        <w:t xml:space="preserve">weitreichenden </w:t>
      </w:r>
      <w:r w:rsidR="002757C6">
        <w:t>Kompetenzen im Zusammenhang mit COVID-19 zu rechtfertigen.</w:t>
      </w:r>
      <w:r w:rsidR="00E76C0A">
        <w:t xml:space="preserve"> </w:t>
      </w:r>
    </w:p>
    <w:p w14:paraId="595F7485" w14:textId="27AC5125" w:rsidR="006276F7" w:rsidRPr="00926486" w:rsidRDefault="006276F7" w:rsidP="005C7B26">
      <w:pPr>
        <w:jc w:val="both"/>
        <w:rPr>
          <w:i/>
        </w:rPr>
      </w:pPr>
      <w:r>
        <w:t xml:space="preserve">Aus diesen Gründen ist die Dringlichkeit dieses Gesetzes zu verneinen. Nach über 6 Monaten </w:t>
      </w:r>
      <w:r w:rsidR="001E4DCC">
        <w:t xml:space="preserve">Erfahrung </w:t>
      </w:r>
      <w:r>
        <w:t xml:space="preserve">mit COVID-19 </w:t>
      </w:r>
      <w:r w:rsidR="00634D60">
        <w:t xml:space="preserve">und reichlich vorhandenem empirischem Datenmaterial </w:t>
      </w:r>
      <w:r>
        <w:t xml:space="preserve">ist in </w:t>
      </w:r>
      <w:r w:rsidR="0016168F">
        <w:t xml:space="preserve">keiner Weise </w:t>
      </w:r>
      <w:r>
        <w:t>erkennbar</w:t>
      </w:r>
      <w:r w:rsidR="0016168F">
        <w:t xml:space="preserve"> und schon gar nicht bewiesen</w:t>
      </w:r>
      <w:r w:rsidRPr="006276F7">
        <w:rPr>
          <w:i/>
        </w:rPr>
        <w:t xml:space="preserve">, </w:t>
      </w:r>
      <w:r>
        <w:rPr>
          <w:i/>
        </w:rPr>
        <w:t xml:space="preserve">welche nicht </w:t>
      </w:r>
      <w:r w:rsidRPr="006276F7">
        <w:rPr>
          <w:i/>
        </w:rPr>
        <w:t>wiedergutzumachende Nachteile für die öffentliche Gesundheit drohen</w:t>
      </w:r>
      <w:r w:rsidR="0016168F">
        <w:rPr>
          <w:i/>
        </w:rPr>
        <w:t xml:space="preserve"> würden</w:t>
      </w:r>
      <w:r w:rsidRPr="006276F7">
        <w:rPr>
          <w:i/>
        </w:rPr>
        <w:t>,</w:t>
      </w:r>
      <w:r>
        <w:rPr>
          <w:i/>
        </w:rPr>
        <w:t xml:space="preserve"> </w:t>
      </w:r>
      <w:r w:rsidR="0016168F">
        <w:rPr>
          <w:i/>
        </w:rPr>
        <w:t xml:space="preserve">wenn </w:t>
      </w:r>
      <w:r w:rsidRPr="006276F7">
        <w:rPr>
          <w:i/>
        </w:rPr>
        <w:t>diese</w:t>
      </w:r>
      <w:r w:rsidR="0016168F">
        <w:rPr>
          <w:i/>
        </w:rPr>
        <w:t xml:space="preserve"> Vorlage </w:t>
      </w:r>
      <w:r w:rsidRPr="006276F7">
        <w:rPr>
          <w:i/>
        </w:rPr>
        <w:t xml:space="preserve">nicht für </w:t>
      </w:r>
      <w:r w:rsidRPr="00511B06">
        <w:rPr>
          <w:i/>
        </w:rPr>
        <w:t xml:space="preserve">dringlich </w:t>
      </w:r>
      <w:r w:rsidR="00E43120" w:rsidRPr="00511B06">
        <w:rPr>
          <w:i/>
        </w:rPr>
        <w:t xml:space="preserve">erklärt </w:t>
      </w:r>
      <w:r w:rsidR="0016168F" w:rsidRPr="00511B06">
        <w:rPr>
          <w:i/>
        </w:rPr>
        <w:t>würde</w:t>
      </w:r>
      <w:r>
        <w:rPr>
          <w:i/>
        </w:rPr>
        <w:t>.</w:t>
      </w:r>
      <w:r w:rsidR="0016168F">
        <w:rPr>
          <w:i/>
        </w:rPr>
        <w:t xml:space="preserve"> Deshalb ist sie als nicht dringlich zurückzuweisen.</w:t>
      </w:r>
    </w:p>
    <w:p w14:paraId="7371C385" w14:textId="202EB989" w:rsidR="005D1A7A" w:rsidRDefault="005D1A7A" w:rsidP="005C7B26">
      <w:pPr>
        <w:jc w:val="both"/>
      </w:pPr>
      <w:r>
        <w:t xml:space="preserve">Die bestehende gesetzliche Ordnung des </w:t>
      </w:r>
      <w:proofErr w:type="spellStart"/>
      <w:r>
        <w:t>Epidemiengesetzes</w:t>
      </w:r>
      <w:proofErr w:type="spellEnd"/>
      <w:r>
        <w:t xml:space="preserve"> (und allenfalls von Art. 185 Abs. 3 BV) reicht aus, um mit COVID-19 und allfälligen negativen Auswirkungen fertig zu werden.</w:t>
      </w:r>
    </w:p>
    <w:p w14:paraId="7082AD17" w14:textId="39EA67B1" w:rsidR="00C20C39" w:rsidRDefault="00EA40CC" w:rsidP="005C7B26">
      <w:pPr>
        <w:jc w:val="both"/>
      </w:pPr>
      <w:r>
        <w:t>Und s</w:t>
      </w:r>
      <w:r w:rsidR="00C9289D">
        <w:t xml:space="preserve">ollte </w:t>
      </w:r>
      <w:r>
        <w:t xml:space="preserve">trotzdem </w:t>
      </w:r>
      <w:r w:rsidR="00C9289D">
        <w:t xml:space="preserve">wider Erwarten eine Situation eintreten, in welcher </w:t>
      </w:r>
      <w:r w:rsidR="00C20C39">
        <w:t xml:space="preserve">die öffentliche Gesundheit </w:t>
      </w:r>
      <w:r w:rsidR="002757C6">
        <w:t xml:space="preserve">tatsächlich </w:t>
      </w:r>
      <w:r w:rsidR="00C20C39">
        <w:t xml:space="preserve">in </w:t>
      </w:r>
      <w:r w:rsidR="00CE6D99">
        <w:t>erheblicher, besonderer</w:t>
      </w:r>
      <w:r w:rsidR="00C20C39">
        <w:t xml:space="preserve"> Weise</w:t>
      </w:r>
      <w:r w:rsidR="00CE6D99">
        <w:t xml:space="preserve"> </w:t>
      </w:r>
      <w:r w:rsidR="00C20C39">
        <w:t>gefährdet wäre, stünden dem Bundesrat die bekannten Rechtsgrundlagen zur Verfügung</w:t>
      </w:r>
      <w:r>
        <w:t xml:space="preserve"> (</w:t>
      </w:r>
      <w:r w:rsidR="002757C6">
        <w:t>Art. 6</w:t>
      </w:r>
      <w:r w:rsidR="00C20C39">
        <w:t xml:space="preserve"> </w:t>
      </w:r>
      <w:proofErr w:type="spellStart"/>
      <w:r>
        <w:t>EpG</w:t>
      </w:r>
      <w:proofErr w:type="spellEnd"/>
      <w:r>
        <w:t xml:space="preserve">; </w:t>
      </w:r>
      <w:r w:rsidR="001E4DCC">
        <w:t>b</w:t>
      </w:r>
      <w:r w:rsidR="002757C6">
        <w:t xml:space="preserve">ei nachgewiesenem Bedarf </w:t>
      </w:r>
      <w:r w:rsidR="006276F7">
        <w:t>allenfalls auch auf</w:t>
      </w:r>
      <w:r w:rsidR="002757C6">
        <w:t xml:space="preserve"> Art. 7 </w:t>
      </w:r>
      <w:proofErr w:type="spellStart"/>
      <w:r w:rsidR="002757C6">
        <w:t>EpG</w:t>
      </w:r>
      <w:proofErr w:type="spellEnd"/>
      <w:r w:rsidR="002757C6">
        <w:t xml:space="preserve"> und Art. 185 Abs. 3 BV</w:t>
      </w:r>
      <w:r>
        <w:t>)</w:t>
      </w:r>
      <w:r w:rsidR="00C20C39">
        <w:t>.</w:t>
      </w:r>
      <w:r w:rsidR="002757C6">
        <w:t xml:space="preserve"> Davon sind wir heut</w:t>
      </w:r>
      <w:r>
        <w:t>e aber weiter entfernt denn je.</w:t>
      </w:r>
    </w:p>
    <w:p w14:paraId="5937D94E" w14:textId="77777777" w:rsidR="00C20C39" w:rsidRDefault="00C20C39"/>
    <w:p w14:paraId="1F34C66E" w14:textId="46A075D7" w:rsidR="00F81353" w:rsidRPr="00064172" w:rsidRDefault="00064172">
      <w:pPr>
        <w:rPr>
          <w:b/>
        </w:rPr>
      </w:pPr>
      <w:r>
        <w:rPr>
          <w:b/>
        </w:rPr>
        <w:t xml:space="preserve">2.) Zu </w:t>
      </w:r>
      <w:r w:rsidR="00414463" w:rsidRPr="00064172">
        <w:rPr>
          <w:b/>
        </w:rPr>
        <w:t>Schlussfolgerung 2</w:t>
      </w:r>
      <w:r w:rsidR="006276F7" w:rsidRPr="00064172">
        <w:rPr>
          <w:b/>
        </w:rPr>
        <w:t>:</w:t>
      </w:r>
      <w:r w:rsidR="00414463" w:rsidRPr="00064172">
        <w:rPr>
          <w:b/>
        </w:rPr>
        <w:tab/>
      </w:r>
      <w:r w:rsidR="006276F7" w:rsidRPr="00064172">
        <w:rPr>
          <w:b/>
        </w:rPr>
        <w:br/>
      </w:r>
      <w:r w:rsidR="00414463" w:rsidRPr="00064172">
        <w:rPr>
          <w:b/>
        </w:rPr>
        <w:t>Fehlende</w:t>
      </w:r>
      <w:r w:rsidR="006276F7" w:rsidRPr="00064172">
        <w:rPr>
          <w:b/>
        </w:rPr>
        <w:t xml:space="preserve"> Notwendigkeit für eine</w:t>
      </w:r>
      <w:r w:rsidR="00F81353" w:rsidRPr="00064172">
        <w:rPr>
          <w:b/>
        </w:rPr>
        <w:t xml:space="preserve"> Regelung</w:t>
      </w:r>
      <w:r w:rsidR="006276F7" w:rsidRPr="00064172">
        <w:rPr>
          <w:b/>
        </w:rPr>
        <w:t xml:space="preserve"> </w:t>
      </w:r>
      <w:r>
        <w:rPr>
          <w:b/>
        </w:rPr>
        <w:t>(</w:t>
      </w:r>
      <w:r w:rsidR="00F81353" w:rsidRPr="00064172">
        <w:rPr>
          <w:b/>
        </w:rPr>
        <w:t xml:space="preserve">zusätzlich zur </w:t>
      </w:r>
      <w:r w:rsidR="00414463" w:rsidRPr="00064172">
        <w:rPr>
          <w:b/>
        </w:rPr>
        <w:t xml:space="preserve">bereits bestehenden gesetzlichen </w:t>
      </w:r>
      <w:r w:rsidR="00F81353" w:rsidRPr="00064172">
        <w:rPr>
          <w:b/>
        </w:rPr>
        <w:t>Ordnung</w:t>
      </w:r>
      <w:r>
        <w:rPr>
          <w:b/>
        </w:rPr>
        <w:t>)</w:t>
      </w:r>
    </w:p>
    <w:p w14:paraId="7D22E9A3" w14:textId="77777777" w:rsidR="00BB5517" w:rsidRDefault="001E4DCC" w:rsidP="005C7B26">
      <w:pPr>
        <w:jc w:val="both"/>
      </w:pPr>
      <w:r>
        <w:t xml:space="preserve">Was oben im Zusammenhang mit der Dringlichkeit gesagt wurde, gilt </w:t>
      </w:r>
      <w:r w:rsidR="00EA40CC">
        <w:t xml:space="preserve">vollumfänglich </w:t>
      </w:r>
      <w:r>
        <w:t xml:space="preserve">auch für das </w:t>
      </w:r>
      <w:r w:rsidR="00E33FA2">
        <w:t>COVID-19-</w:t>
      </w:r>
      <w:r>
        <w:t xml:space="preserve">Gesetz per se, soweit es bezweckt, eine </w:t>
      </w:r>
      <w:r w:rsidR="00E33FA2">
        <w:t xml:space="preserve">von </w:t>
      </w:r>
      <w:r>
        <w:t xml:space="preserve">COVID-19 </w:t>
      </w:r>
      <w:r w:rsidR="00E33FA2">
        <w:t>ausgehende Gefahr für die öffentliche Gesundheit zu bannen</w:t>
      </w:r>
      <w:r w:rsidR="00D87AC1">
        <w:t xml:space="preserve">. </w:t>
      </w:r>
    </w:p>
    <w:p w14:paraId="55F42058" w14:textId="7B86CAE7" w:rsidR="00D87AC1" w:rsidRDefault="00D87AC1" w:rsidP="005C7B26">
      <w:pPr>
        <w:jc w:val="both"/>
        <w:rPr>
          <w:i/>
        </w:rPr>
      </w:pPr>
      <w:r>
        <w:t xml:space="preserve">Gemäss Erläuterungen will der Bundesrat für die epidemiologischen Massnahmen eine Regelung vorschlagen, </w:t>
      </w:r>
      <w:r w:rsidRPr="002B7E6B">
        <w:rPr>
          <w:i/>
        </w:rPr>
        <w:t>die dem Bundesrat erlaub</w:t>
      </w:r>
      <w:r w:rsidR="00077582">
        <w:rPr>
          <w:i/>
        </w:rPr>
        <w:t>t</w:t>
      </w:r>
      <w:r w:rsidRPr="002B7E6B">
        <w:rPr>
          <w:i/>
        </w:rPr>
        <w:t xml:space="preserve">, </w:t>
      </w:r>
      <w:r w:rsidRPr="00D87AC1">
        <w:rPr>
          <w:i/>
        </w:rPr>
        <w:t>all jene Massnahme</w:t>
      </w:r>
      <w:r w:rsidR="00EA40CC">
        <w:rPr>
          <w:i/>
        </w:rPr>
        <w:t xml:space="preserve">n </w:t>
      </w:r>
      <w:r w:rsidRPr="002B7E6B">
        <w:rPr>
          <w:i/>
        </w:rPr>
        <w:t xml:space="preserve">fortzuführen, die er gestützt auf </w:t>
      </w:r>
      <w:r w:rsidRPr="00EA40CC">
        <w:rPr>
          <w:b/>
          <w:i/>
        </w:rPr>
        <w:t xml:space="preserve">Artikel 7 </w:t>
      </w:r>
      <w:proofErr w:type="spellStart"/>
      <w:r w:rsidRPr="00EA40CC">
        <w:rPr>
          <w:b/>
          <w:i/>
        </w:rPr>
        <w:t>EpG</w:t>
      </w:r>
      <w:proofErr w:type="spellEnd"/>
      <w:r w:rsidRPr="00D87AC1">
        <w:rPr>
          <w:i/>
        </w:rPr>
        <w:t xml:space="preserve"> getroffen</w:t>
      </w:r>
      <w:r>
        <w:rPr>
          <w:i/>
        </w:rPr>
        <w:t xml:space="preserve"> hat, für die ihm aber eine gesetzliche Ermächtigung vom Zeitpunkt an fehlt, in dem er </w:t>
      </w:r>
      <w:r>
        <w:rPr>
          <w:i/>
        </w:rPr>
        <w:lastRenderedPageBreak/>
        <w:t xml:space="preserve">die ausserordentliche Lage für beendet </w:t>
      </w:r>
      <w:r w:rsidRPr="00926486">
        <w:rPr>
          <w:i/>
        </w:rPr>
        <w:t>erklärt</w:t>
      </w:r>
      <w:r w:rsidR="004A339A" w:rsidRPr="00926486">
        <w:rPr>
          <w:i/>
        </w:rPr>
        <w:t xml:space="preserve"> </w:t>
      </w:r>
      <w:r w:rsidRPr="00926486">
        <w:rPr>
          <w:i/>
        </w:rPr>
        <w:t>und</w:t>
      </w:r>
      <w:r w:rsidR="004A339A" w:rsidRPr="00926486">
        <w:rPr>
          <w:i/>
        </w:rPr>
        <w:t xml:space="preserve"> </w:t>
      </w:r>
      <w:r w:rsidRPr="00926486">
        <w:rPr>
          <w:i/>
        </w:rPr>
        <w:t>zur besonderen</w:t>
      </w:r>
      <w:r>
        <w:rPr>
          <w:i/>
        </w:rPr>
        <w:t xml:space="preserve"> Lage zurückkehrt.</w:t>
      </w:r>
      <w:proofErr w:type="gramStart"/>
      <w:r>
        <w:rPr>
          <w:i/>
        </w:rPr>
        <w:t>“</w:t>
      </w:r>
      <w:r w:rsidR="00EA40CC">
        <w:rPr>
          <w:i/>
        </w:rPr>
        <w:t>(</w:t>
      </w:r>
      <w:proofErr w:type="gramEnd"/>
      <w:r w:rsidR="00EA40CC">
        <w:rPr>
          <w:i/>
        </w:rPr>
        <w:t>Erläuterungen S. 7)</w:t>
      </w:r>
    </w:p>
    <w:p w14:paraId="4D6D6C68" w14:textId="77777777" w:rsidR="00EA40CC" w:rsidRDefault="00D87AC1" w:rsidP="005C7B26">
      <w:pPr>
        <w:jc w:val="both"/>
      </w:pPr>
      <w:r w:rsidRPr="002B7E6B">
        <w:t xml:space="preserve">Dabei besteht </w:t>
      </w:r>
      <w:r w:rsidR="00EA40CC">
        <w:t xml:space="preserve">wie bereits zuvor dargelegt </w:t>
      </w:r>
      <w:r w:rsidRPr="002B7E6B">
        <w:t xml:space="preserve">für eine analoge Anwendung von Art. 7 </w:t>
      </w:r>
      <w:proofErr w:type="spellStart"/>
      <w:r w:rsidRPr="002B7E6B">
        <w:t>EpG</w:t>
      </w:r>
      <w:proofErr w:type="spellEnd"/>
      <w:r w:rsidR="00EA40CC">
        <w:t xml:space="preserve">, respektive für dessen Verlängerung per Gesetz </w:t>
      </w:r>
      <w:r w:rsidRPr="002B7E6B">
        <w:t>absolut keine Veranlassung</w:t>
      </w:r>
      <w:r w:rsidR="00EA40CC">
        <w:t>:</w:t>
      </w:r>
      <w:r w:rsidR="00D27E15" w:rsidRPr="002B7E6B">
        <w:t xml:space="preserve"> </w:t>
      </w:r>
    </w:p>
    <w:p w14:paraId="2F2799EC" w14:textId="2A3B442B" w:rsidR="00EA40CC" w:rsidRDefault="00EA40CC" w:rsidP="005C7B26">
      <w:pPr>
        <w:jc w:val="both"/>
      </w:pPr>
      <w:r>
        <w:t>G</w:t>
      </w:r>
      <w:r w:rsidRPr="002B7E6B">
        <w:t xml:space="preserve">emäss </w:t>
      </w:r>
      <w:proofErr w:type="spellStart"/>
      <w:r w:rsidRPr="002B7E6B">
        <w:t>bundesrätlicher</w:t>
      </w:r>
      <w:proofErr w:type="spellEnd"/>
      <w:r w:rsidRPr="002B7E6B">
        <w:t xml:space="preserve"> Botschaft </w:t>
      </w:r>
      <w:r>
        <w:t xml:space="preserve">vom Dezember 2010 </w:t>
      </w:r>
      <w:r w:rsidRPr="002B7E6B">
        <w:t>zu</w:t>
      </w:r>
      <w:r>
        <w:t xml:space="preserve">m </w:t>
      </w:r>
      <w:proofErr w:type="spellStart"/>
      <w:r>
        <w:t>Epidemiengesetz</w:t>
      </w:r>
      <w:proofErr w:type="spellEnd"/>
      <w:r>
        <w:t xml:space="preserve"> kommt der</w:t>
      </w:r>
      <w:r w:rsidR="00D27E15" w:rsidRPr="002B7E6B">
        <w:t xml:space="preserve"> Status der ausserordentlichen Lage gem. Art. 7 </w:t>
      </w:r>
      <w:proofErr w:type="spellStart"/>
      <w:r w:rsidR="00D27E15" w:rsidRPr="002B7E6B">
        <w:t>EpG</w:t>
      </w:r>
      <w:proofErr w:type="spellEnd"/>
      <w:r w:rsidR="00D27E15" w:rsidRPr="002B7E6B">
        <w:t xml:space="preserve"> </w:t>
      </w:r>
      <w:r>
        <w:t>nur in Fällen von „</w:t>
      </w:r>
      <w:proofErr w:type="spellStart"/>
      <w:r>
        <w:t>Worst</w:t>
      </w:r>
      <w:proofErr w:type="spellEnd"/>
      <w:r>
        <w:t xml:space="preserve"> Case Pandemien“ in Frage</w:t>
      </w:r>
      <w:r w:rsidR="00077582">
        <w:t>, etwa</w:t>
      </w:r>
      <w:r>
        <w:t xml:space="preserve"> in der Art der „</w:t>
      </w:r>
      <w:r w:rsidR="00D27E15" w:rsidRPr="002B7E6B">
        <w:t>Spanischen Grippe</w:t>
      </w:r>
      <w:r>
        <w:t>“</w:t>
      </w:r>
      <w:r w:rsidR="00D27E15" w:rsidRPr="002B7E6B">
        <w:rPr>
          <w:vertAlign w:val="superscript"/>
        </w:rPr>
        <w:footnoteReference w:id="1"/>
      </w:r>
      <w:r w:rsidR="00D27E15" w:rsidRPr="002B7E6B">
        <w:t xml:space="preserve">. </w:t>
      </w:r>
      <w:r>
        <w:t xml:space="preserve">Ein solches Szenario </w:t>
      </w:r>
      <w:r w:rsidR="00D27E15" w:rsidRPr="002B7E6B">
        <w:t xml:space="preserve">lag </w:t>
      </w:r>
      <w:r>
        <w:t xml:space="preserve">aber </w:t>
      </w:r>
      <w:r w:rsidR="00D27E15" w:rsidRPr="002B7E6B">
        <w:t xml:space="preserve">bis heute zu keinem Zeitpunkt </w:t>
      </w:r>
      <w:r w:rsidR="00077582">
        <w:t xml:space="preserve">auch nur annähernd </w:t>
      </w:r>
      <w:r w:rsidR="00D27E15" w:rsidRPr="002B7E6B">
        <w:t xml:space="preserve">vor. Die Spanische Grippe forderte </w:t>
      </w:r>
      <w:r>
        <w:t xml:space="preserve">bekanntlich </w:t>
      </w:r>
      <w:r w:rsidR="00D27E15" w:rsidRPr="002B7E6B">
        <w:t>zwischen 25 und 50 Millionen Tote (bei einer Weltpopulation von 1</w:t>
      </w:r>
      <w:r>
        <w:t>.8</w:t>
      </w:r>
      <w:r w:rsidR="00D27E15" w:rsidRPr="002B7E6B">
        <w:t xml:space="preserve"> Mrd. Menschen). Die Zahl der an COVID-19 verstorbenen Menschen beträgt demgegenüber weniger als 0.5 Millionen </w:t>
      </w:r>
      <w:r>
        <w:t>(</w:t>
      </w:r>
      <w:r w:rsidR="00D27E15" w:rsidRPr="002B7E6B">
        <w:t xml:space="preserve">bei einer aktuellen Gesamtpopulation von </w:t>
      </w:r>
      <w:r w:rsidR="00D27E15">
        <w:t>bald 8 Mrd. Menschen</w:t>
      </w:r>
      <w:r>
        <w:t>)</w:t>
      </w:r>
      <w:r w:rsidR="00D27E15">
        <w:t xml:space="preserve">. Zudem ist bekannt, dass die Spanische Grippe besonders die </w:t>
      </w:r>
      <w:r w:rsidR="00D27E15" w:rsidRPr="00926486">
        <w:t>Bevölkerung im mittleren Alter dahinraffte</w:t>
      </w:r>
      <w:r w:rsidRPr="00926486">
        <w:t>, COVID-19 dagegen primär nur</w:t>
      </w:r>
      <w:r w:rsidR="0097161C" w:rsidRPr="00926486">
        <w:t xml:space="preserve"> betagte</w:t>
      </w:r>
      <w:r w:rsidRPr="00926486">
        <w:t xml:space="preserve"> Personen </w:t>
      </w:r>
      <w:r w:rsidR="0097161C" w:rsidRPr="00926486">
        <w:t xml:space="preserve">oder solche </w:t>
      </w:r>
      <w:r w:rsidRPr="00926486">
        <w:t>mi</w:t>
      </w:r>
      <w:r>
        <w:t>t besonderen Vorerkrankungen</w:t>
      </w:r>
      <w:r w:rsidR="00D27E15">
        <w:t>.</w:t>
      </w:r>
    </w:p>
    <w:p w14:paraId="6681B394" w14:textId="3134F69B" w:rsidR="009C4C2A" w:rsidRDefault="009C4C2A" w:rsidP="005C7B26">
      <w:pPr>
        <w:jc w:val="both"/>
      </w:pPr>
      <w:r>
        <w:t>Die Voraussagen zur Sterblichkeit seite</w:t>
      </w:r>
      <w:r w:rsidR="00077582">
        <w:t>n</w:t>
      </w:r>
      <w:r>
        <w:t>s der WHO, der Johns Hopkins University und des Robert Koch Institut</w:t>
      </w:r>
      <w:r w:rsidR="00077582">
        <w:t>s</w:t>
      </w:r>
      <w:r>
        <w:t xml:space="preserve">, auf die der Bundesrat sich gestützt hat, haben sich bis zum Dreissigfachen als überzogen erwiesen. </w:t>
      </w:r>
      <w:r w:rsidRPr="009C4C2A">
        <w:t xml:space="preserve">Das steht heute anhand der verfügbaren Zahlen fest. (Vgl. Roger Köppel, </w:t>
      </w:r>
      <w:proofErr w:type="spellStart"/>
      <w:r w:rsidRPr="009C4C2A">
        <w:t>Telegram</w:t>
      </w:r>
      <w:proofErr w:type="spellEnd"/>
      <w:r w:rsidRPr="009C4C2A">
        <w:t xml:space="preserve">, </w:t>
      </w:r>
      <w:hyperlink r:id="rId9" w:history="1">
        <w:r w:rsidRPr="009C4C2A">
          <w:rPr>
            <w:rStyle w:val="Hyperlink"/>
          </w:rPr>
          <w:t>https://t.me/</w:t>
        </w:r>
      </w:hyperlink>
      <w:r w:rsidRPr="009C4C2A">
        <w:t>uncut_news/12181 )</w:t>
      </w:r>
    </w:p>
    <w:p w14:paraId="46D31B22" w14:textId="78A92E3D" w:rsidR="007E259C" w:rsidRDefault="00D27E15" w:rsidP="005C7B26">
      <w:pPr>
        <w:jc w:val="both"/>
      </w:pPr>
      <w:r w:rsidRPr="002B7E6B">
        <w:t xml:space="preserve">Seit spätestens </w:t>
      </w:r>
      <w:r>
        <w:t>Mitte</w:t>
      </w:r>
      <w:r w:rsidRPr="002B7E6B">
        <w:t xml:space="preserve"> April 2020 </w:t>
      </w:r>
      <w:r>
        <w:t xml:space="preserve">steht </w:t>
      </w:r>
      <w:r w:rsidR="00EA40CC">
        <w:t xml:space="preserve">also eindeutig </w:t>
      </w:r>
      <w:r>
        <w:t>fest, dass das COVID-19-Phänomen in keiner Weise als „</w:t>
      </w:r>
      <w:proofErr w:type="spellStart"/>
      <w:r>
        <w:t>Worst</w:t>
      </w:r>
      <w:proofErr w:type="spellEnd"/>
      <w:r>
        <w:t xml:space="preserve"> Case Pandemie“ im Sinne der Botschaft zum </w:t>
      </w:r>
      <w:proofErr w:type="spellStart"/>
      <w:r w:rsidR="00077582">
        <w:t>Epi</w:t>
      </w:r>
      <w:r>
        <w:t>demiengesetz</w:t>
      </w:r>
      <w:proofErr w:type="spellEnd"/>
      <w:r>
        <w:t xml:space="preserve"> </w:t>
      </w:r>
      <w:r w:rsidR="00EA40CC">
        <w:t xml:space="preserve">betrachtet werden kann. </w:t>
      </w:r>
      <w:r w:rsidR="007E259C">
        <w:t>Insbesondere wurde schnell klar, dass die erschreckenden Bilder aus Italien auf die Schweiz nicht zutreffen würden.</w:t>
      </w:r>
    </w:p>
    <w:p w14:paraId="50C68F2D" w14:textId="232183DF" w:rsidR="007E259C" w:rsidRPr="007E259C" w:rsidRDefault="007E259C" w:rsidP="005C7B26">
      <w:pPr>
        <w:numPr>
          <w:ilvl w:val="0"/>
          <w:numId w:val="2"/>
        </w:numPr>
        <w:jc w:val="both"/>
      </w:pPr>
      <w:r w:rsidRPr="007E259C">
        <w:t xml:space="preserve">Die Krankenhäuser in Norditalien sind auch in anderen Jahren </w:t>
      </w:r>
      <w:r w:rsidR="009C4C2A">
        <w:t xml:space="preserve">jeweils </w:t>
      </w:r>
      <w:r w:rsidRPr="007E259C">
        <w:t>zur Grippesaison überlastet.</w:t>
      </w:r>
      <w:r>
        <w:t xml:space="preserve"> </w:t>
      </w:r>
      <w:r w:rsidRPr="007E259C">
        <w:t xml:space="preserve">Ein beträchtlicher Teil des Ansturms auf die Krankenhäuser in Norditalien war </w:t>
      </w:r>
      <w:r>
        <w:t xml:space="preserve">in dieser Saison </w:t>
      </w:r>
      <w:r w:rsidRPr="007E259C">
        <w:t xml:space="preserve">der Angst vor einem neuen unbekannten Virus geschuldet. </w:t>
      </w:r>
    </w:p>
    <w:p w14:paraId="6C6F89B0" w14:textId="77777777" w:rsidR="007E259C" w:rsidRPr="007E259C" w:rsidRDefault="007E259C" w:rsidP="005C7B26">
      <w:pPr>
        <w:numPr>
          <w:ilvl w:val="0"/>
          <w:numId w:val="2"/>
        </w:numPr>
        <w:jc w:val="both"/>
      </w:pPr>
      <w:r w:rsidRPr="007E259C">
        <w:t>Die Überlastung der Krematorien in Norditalien war lokal beschränkt auf die Gebiete, die mit starken Einschränkungen belegt wurden. Diese Überlastungen waren massgeblich eine Folge der auferlegten Massnahmen, welche die in Italien überwiegend übliche Erdbestattung maximal erschwerte und persönliches Abschiednehmen verunmöglichten.</w:t>
      </w:r>
    </w:p>
    <w:p w14:paraId="0E0204B3" w14:textId="0333A350" w:rsidR="007E259C" w:rsidRPr="007E259C" w:rsidRDefault="007E259C" w:rsidP="005C7B26">
      <w:pPr>
        <w:numPr>
          <w:ilvl w:val="0"/>
          <w:numId w:val="2"/>
        </w:numPr>
        <w:jc w:val="both"/>
      </w:pPr>
      <w:r>
        <w:t>B</w:t>
      </w:r>
      <w:r w:rsidRPr="007E259C">
        <w:t xml:space="preserve">ereits in einer Studie des </w:t>
      </w:r>
      <w:r w:rsidRPr="007E259C">
        <w:rPr>
          <w:i/>
        </w:rPr>
        <w:t xml:space="preserve">European </w:t>
      </w:r>
      <w:proofErr w:type="spellStart"/>
      <w:r w:rsidRPr="007E259C">
        <w:rPr>
          <w:i/>
        </w:rPr>
        <w:t>Centre</w:t>
      </w:r>
      <w:proofErr w:type="spellEnd"/>
      <w:r w:rsidRPr="007E259C">
        <w:rPr>
          <w:i/>
        </w:rPr>
        <w:t xml:space="preserve"> </w:t>
      </w:r>
      <w:proofErr w:type="spellStart"/>
      <w:r w:rsidRPr="007E259C">
        <w:rPr>
          <w:i/>
        </w:rPr>
        <w:t>for</w:t>
      </w:r>
      <w:proofErr w:type="spellEnd"/>
      <w:r w:rsidRPr="007E259C">
        <w:rPr>
          <w:i/>
        </w:rPr>
        <w:t xml:space="preserve"> </w:t>
      </w:r>
      <w:proofErr w:type="spellStart"/>
      <w:r w:rsidRPr="007E259C">
        <w:rPr>
          <w:i/>
        </w:rPr>
        <w:t>Disease</w:t>
      </w:r>
      <w:proofErr w:type="spellEnd"/>
      <w:r w:rsidRPr="007E259C">
        <w:rPr>
          <w:i/>
        </w:rPr>
        <w:t xml:space="preserve"> </w:t>
      </w:r>
      <w:proofErr w:type="spellStart"/>
      <w:r w:rsidRPr="007E259C">
        <w:rPr>
          <w:i/>
        </w:rPr>
        <w:t>Prevention</w:t>
      </w:r>
      <w:proofErr w:type="spellEnd"/>
      <w:r w:rsidRPr="007E259C">
        <w:rPr>
          <w:i/>
        </w:rPr>
        <w:t xml:space="preserve"> </w:t>
      </w:r>
      <w:proofErr w:type="spellStart"/>
      <w:r w:rsidRPr="007E259C">
        <w:rPr>
          <w:i/>
        </w:rPr>
        <w:t>and</w:t>
      </w:r>
      <w:proofErr w:type="spellEnd"/>
      <w:r w:rsidRPr="007E259C">
        <w:rPr>
          <w:i/>
        </w:rPr>
        <w:t xml:space="preserve"> Control</w:t>
      </w:r>
      <w:r w:rsidRPr="007E259C">
        <w:t xml:space="preserve"> aus dem Jahre 2018 </w:t>
      </w:r>
      <w:r>
        <w:t xml:space="preserve">war </w:t>
      </w:r>
      <w:r w:rsidRPr="007E259C">
        <w:t xml:space="preserve">nachgewiesen </w:t>
      </w:r>
      <w:r>
        <w:t>worden</w:t>
      </w:r>
      <w:r w:rsidRPr="007E259C">
        <w:t xml:space="preserve">, </w:t>
      </w:r>
      <w:r>
        <w:t xml:space="preserve">dass </w:t>
      </w:r>
      <w:r w:rsidRPr="007E259C">
        <w:t xml:space="preserve">Italien innerhalb Europas </w:t>
      </w:r>
      <w:r>
        <w:t>einen</w:t>
      </w:r>
      <w:r w:rsidRPr="007E259C">
        <w:t xml:space="preserve"> Spitzenplatz bezüglich tödlicher multiresistenter Keime</w:t>
      </w:r>
      <w:r>
        <w:t xml:space="preserve"> belegt</w:t>
      </w:r>
      <w:r w:rsidRPr="007E259C">
        <w:t xml:space="preserve">. </w:t>
      </w:r>
    </w:p>
    <w:p w14:paraId="38708C63" w14:textId="7844448B" w:rsidR="007E259C" w:rsidRDefault="007E259C" w:rsidP="005C7B26">
      <w:pPr>
        <w:numPr>
          <w:ilvl w:val="0"/>
          <w:numId w:val="2"/>
        </w:numPr>
        <w:jc w:val="both"/>
      </w:pPr>
      <w:r w:rsidRPr="007E259C">
        <w:t>Die Strukturen der Gesundheitssysteme unterscheiden sich zwischen den Ländern sehr stark. Die Überflutung der Spitäler, wie sie in Italien, Frankreich und Spanien auftrat</w:t>
      </w:r>
      <w:r w:rsidR="00077582">
        <w:t>,</w:t>
      </w:r>
      <w:r w:rsidRPr="007E259C">
        <w:t xml:space="preserve"> konnte in der Schweiz zu keinem Zeitpunkt beobachtet werden.</w:t>
      </w:r>
    </w:p>
    <w:p w14:paraId="0F0BE1F1" w14:textId="124823EE" w:rsidR="007E259C" w:rsidRPr="007E259C" w:rsidRDefault="007E259C" w:rsidP="005C7B26">
      <w:pPr>
        <w:numPr>
          <w:ilvl w:val="0"/>
          <w:numId w:val="2"/>
        </w:numPr>
        <w:jc w:val="both"/>
      </w:pPr>
      <w:r>
        <w:t xml:space="preserve">In der Schweiz wurden die empirischen Daten aus Italien schnell bestätigt: </w:t>
      </w:r>
      <w:r w:rsidRPr="007E259C">
        <w:t xml:space="preserve">Der weitaus überwiegende Teil der Personen, bei denen beim Tod eine Covid-19 Infektion vorlag, hatten mindestens eine schwere Vorerkrankung (Gemäss </w:t>
      </w:r>
      <w:r>
        <w:t xml:space="preserve">täglichen </w:t>
      </w:r>
      <w:r w:rsidRPr="007E259C">
        <w:t>Bericht</w:t>
      </w:r>
      <w:r>
        <w:t>en</w:t>
      </w:r>
      <w:r w:rsidRPr="007E259C">
        <w:t xml:space="preserve"> des BAG waren dies in der Schweiz 97%). Entsprechende Daten aus Italien standen </w:t>
      </w:r>
      <w:r>
        <w:t xml:space="preserve">bereits </w:t>
      </w:r>
      <w:r w:rsidRPr="007E259C">
        <w:t>per Ende März zur Verfügung.</w:t>
      </w:r>
    </w:p>
    <w:p w14:paraId="0FB133AE" w14:textId="1C40DF33" w:rsidR="007E259C" w:rsidRPr="00926486" w:rsidRDefault="007E259C" w:rsidP="005C7B26">
      <w:pPr>
        <w:numPr>
          <w:ilvl w:val="0"/>
          <w:numId w:val="2"/>
        </w:numPr>
        <w:jc w:val="both"/>
      </w:pPr>
      <w:r w:rsidRPr="007E259C">
        <w:lastRenderedPageBreak/>
        <w:t xml:space="preserve">Das Altersmuster der Personen, bei denen beim Tod eine Covid-19 Infektion vorlag, gleicht dem Altersmuster der verstorbenen vor dem Auftreten der Covid-19 Epidemie (Gemäss Bericht des BAG vom 20.06.2020 lag der Altersmedian bei 84 Jahren, also geringfügig höher als die allgemeine Lebenserwartung in der Schweiz. Entsprechende Daten aus Italien standen per Ende März zur </w:t>
      </w:r>
      <w:r w:rsidRPr="00926486">
        <w:t>Verfügung</w:t>
      </w:r>
      <w:r w:rsidR="0097161C" w:rsidRPr="00926486">
        <w:t>)</w:t>
      </w:r>
      <w:r w:rsidRPr="00926486">
        <w:t>.</w:t>
      </w:r>
    </w:p>
    <w:p w14:paraId="68387506" w14:textId="0D5FC217" w:rsidR="00E33FA2" w:rsidRPr="00EA40CC" w:rsidRDefault="007E259C" w:rsidP="005C7B26">
      <w:pPr>
        <w:jc w:val="both"/>
        <w:rPr>
          <w:i/>
        </w:rPr>
      </w:pPr>
      <w:r>
        <w:t xml:space="preserve">Aus all diesen Gründen </w:t>
      </w:r>
      <w:r w:rsidR="00EA40CC">
        <w:t>ist es nun - n</w:t>
      </w:r>
      <w:r w:rsidR="00E33FA2" w:rsidRPr="001E4DCC">
        <w:t xml:space="preserve">ach über 6 Monaten </w:t>
      </w:r>
      <w:r w:rsidR="00E33FA2">
        <w:t xml:space="preserve">Erfahrung </w:t>
      </w:r>
      <w:r w:rsidR="00E33FA2" w:rsidRPr="001E4DCC">
        <w:t>mit COVID-19 und reichlich vorhandenem empirische</w:t>
      </w:r>
      <w:r w:rsidR="00077582">
        <w:t>n</w:t>
      </w:r>
      <w:r w:rsidR="00E33FA2" w:rsidRPr="001E4DCC">
        <w:t xml:space="preserve"> Datenmaterial </w:t>
      </w:r>
      <w:r w:rsidR="00EA40CC">
        <w:t>– in keiner Weise</w:t>
      </w:r>
      <w:r w:rsidR="00E33FA2" w:rsidRPr="001E4DCC">
        <w:t xml:space="preserve"> erkennbar</w:t>
      </w:r>
      <w:r w:rsidR="00E33FA2" w:rsidRPr="001E4DCC">
        <w:rPr>
          <w:i/>
        </w:rPr>
        <w:t xml:space="preserve">, </w:t>
      </w:r>
      <w:r w:rsidR="00E33FA2" w:rsidRPr="00926486">
        <w:t xml:space="preserve">warum es </w:t>
      </w:r>
      <w:r w:rsidR="00050B69" w:rsidRPr="00926486">
        <w:t xml:space="preserve">noch immer </w:t>
      </w:r>
      <w:r w:rsidR="00E33FA2" w:rsidRPr="00926486">
        <w:t xml:space="preserve">notwendig </w:t>
      </w:r>
      <w:r w:rsidR="00EA40CC" w:rsidRPr="00926486">
        <w:t>sein soll</w:t>
      </w:r>
      <w:r w:rsidR="00E33FA2" w:rsidRPr="00926486">
        <w:t xml:space="preserve">, mittels COVID-19-Gesetz </w:t>
      </w:r>
      <w:r w:rsidR="00A75A21" w:rsidRPr="00926486">
        <w:t xml:space="preserve">dem Bundesrat </w:t>
      </w:r>
      <w:r w:rsidR="00EA40CC" w:rsidRPr="00926486">
        <w:t>weiterhin besondere</w:t>
      </w:r>
      <w:r w:rsidR="00A75A21" w:rsidRPr="00926486">
        <w:t xml:space="preserve"> Kompetenzen einzuräumen</w:t>
      </w:r>
      <w:r w:rsidR="00EA40CC" w:rsidRPr="00926486">
        <w:t xml:space="preserve"> im Bereich von Art. 6 und </w:t>
      </w:r>
      <w:r w:rsidR="00050B69" w:rsidRPr="00926486">
        <w:t xml:space="preserve">sogar Art. </w:t>
      </w:r>
      <w:r w:rsidR="00EA40CC" w:rsidRPr="00926486">
        <w:t xml:space="preserve">7 </w:t>
      </w:r>
      <w:proofErr w:type="spellStart"/>
      <w:r w:rsidR="00EA40CC" w:rsidRPr="00926486">
        <w:t>EpG</w:t>
      </w:r>
      <w:proofErr w:type="spellEnd"/>
      <w:r w:rsidR="00A75A21" w:rsidRPr="00926486">
        <w:t xml:space="preserve">. Der Bundesrat </w:t>
      </w:r>
      <w:r w:rsidR="00EA40CC" w:rsidRPr="00926486">
        <w:t xml:space="preserve">belegt </w:t>
      </w:r>
      <w:r w:rsidR="00A75A21" w:rsidRPr="00926486">
        <w:t xml:space="preserve">im Erläuternden Bericht </w:t>
      </w:r>
      <w:r w:rsidR="00050B69" w:rsidRPr="00926486">
        <w:t>in keiner Weise</w:t>
      </w:r>
      <w:r w:rsidR="00A75A21" w:rsidRPr="00926486">
        <w:t xml:space="preserve">, welche </w:t>
      </w:r>
      <w:r w:rsidR="00D27E15" w:rsidRPr="00926486">
        <w:t>erhebliche Bedrohung</w:t>
      </w:r>
      <w:r w:rsidR="00E33FA2" w:rsidRPr="00926486">
        <w:t xml:space="preserve"> für die öffentliche Gesundheit durch COVID-19 </w:t>
      </w:r>
      <w:r w:rsidR="00EA40CC" w:rsidRPr="00926486">
        <w:t xml:space="preserve">ganz genau </w:t>
      </w:r>
      <w:r w:rsidR="00D27E15" w:rsidRPr="00926486">
        <w:t>ausgeht, welche das vorliegende Gesetz zwingend erforderlich machen würde</w:t>
      </w:r>
      <w:r w:rsidR="00E33FA2" w:rsidRPr="00926486">
        <w:t>.</w:t>
      </w:r>
    </w:p>
    <w:p w14:paraId="4433F3AB" w14:textId="1BA5D2DC" w:rsidR="00D27E15" w:rsidRDefault="00A75A21" w:rsidP="005C7B26">
      <w:pPr>
        <w:jc w:val="both"/>
      </w:pPr>
      <w:r w:rsidRPr="00511B06">
        <w:t>Generell hat es d</w:t>
      </w:r>
      <w:r w:rsidR="001E4DCC" w:rsidRPr="00511B06">
        <w:t xml:space="preserve">er Bundesrat versäumt, die besondere Gefährlichkeit </w:t>
      </w:r>
      <w:r w:rsidRPr="00511B06">
        <w:t>von</w:t>
      </w:r>
      <w:r w:rsidR="001E4DCC" w:rsidRPr="00511B06">
        <w:t xml:space="preserve"> COVID-19 für die öffentliche Gesundheit der Bevölkerung in der Schweiz nachzuweisen. </w:t>
      </w:r>
      <w:r w:rsidR="00FC547F" w:rsidRPr="00511B06">
        <w:t xml:space="preserve">Zu diesem Nachweis </w:t>
      </w:r>
      <w:r w:rsidRPr="00511B06">
        <w:t xml:space="preserve">wäre </w:t>
      </w:r>
      <w:r w:rsidR="00FC547F" w:rsidRPr="00511B06">
        <w:t xml:space="preserve">der Bundesrat aber </w:t>
      </w:r>
      <w:r w:rsidRPr="00511B06">
        <w:t>gemäss</w:t>
      </w:r>
      <w:r w:rsidRPr="001E4DCC">
        <w:t xml:space="preserve"> </w:t>
      </w:r>
      <w:proofErr w:type="spellStart"/>
      <w:r w:rsidRPr="001E4DCC">
        <w:t>Epidemiengesetz</w:t>
      </w:r>
      <w:proofErr w:type="spellEnd"/>
      <w:r w:rsidRPr="001E4DCC">
        <w:t xml:space="preserve"> </w:t>
      </w:r>
      <w:r>
        <w:t>(</w:t>
      </w:r>
      <w:r w:rsidR="00050B69">
        <w:t xml:space="preserve">s. auch </w:t>
      </w:r>
      <w:r>
        <w:t xml:space="preserve">Botschaft zum </w:t>
      </w:r>
      <w:proofErr w:type="spellStart"/>
      <w:r>
        <w:t>Epidemiengesetz</w:t>
      </w:r>
      <w:proofErr w:type="spellEnd"/>
      <w:r>
        <w:t xml:space="preserve">, S. 385) </w:t>
      </w:r>
      <w:r w:rsidRPr="001E4DCC">
        <w:t xml:space="preserve">und gemäss Bundesverfassung </w:t>
      </w:r>
      <w:r>
        <w:t xml:space="preserve">(Art. 36 BV) von Anfang an </w:t>
      </w:r>
      <w:r w:rsidR="00050B69">
        <w:t xml:space="preserve">klar </w:t>
      </w:r>
      <w:r w:rsidRPr="001E4DCC">
        <w:t xml:space="preserve">verpflichtet </w:t>
      </w:r>
      <w:r>
        <w:t>gewesen.</w:t>
      </w:r>
      <w:r w:rsidR="00926486">
        <w:t xml:space="preserve"> </w:t>
      </w:r>
      <w:r w:rsidR="00EA40CC">
        <w:t>W</w:t>
      </w:r>
      <w:r w:rsidR="001E4DCC" w:rsidRPr="001E4DCC">
        <w:t>is</w:t>
      </w:r>
      <w:r w:rsidR="001E4DCC">
        <w:t>senschaftlich breit abgestützte empirische</w:t>
      </w:r>
      <w:r w:rsidR="00EA40CC">
        <w:t xml:space="preserve"> Daten, welche</w:t>
      </w:r>
      <w:r w:rsidR="001E4DCC" w:rsidRPr="001E4DCC">
        <w:t xml:space="preserve"> die </w:t>
      </w:r>
      <w:r w:rsidR="00E33FA2">
        <w:t>(qualitativ und quantitativ) erhebliche Bedrohung der öffentlichen Gesundheit be</w:t>
      </w:r>
      <w:r>
        <w:t>legen</w:t>
      </w:r>
      <w:r w:rsidR="00EA40CC">
        <w:t xml:space="preserve">, fehlen </w:t>
      </w:r>
      <w:r w:rsidR="00050B69">
        <w:t>bis heute</w:t>
      </w:r>
      <w:r w:rsidR="00EA40CC">
        <w:t>.</w:t>
      </w:r>
      <w:r w:rsidR="00050B69">
        <w:t xml:space="preserve"> Obduktionen wurden so gut wie gar keine vorgenommen, wodurch man die Wirkungsweise und die Letalität von COV</w:t>
      </w:r>
      <w:r w:rsidR="00BB5517">
        <w:t>ID-19 im Einzelfall hätte fest</w:t>
      </w:r>
      <w:r w:rsidR="00050B69">
        <w:t>stellen können.</w:t>
      </w:r>
    </w:p>
    <w:p w14:paraId="62D3C938" w14:textId="5DE9FF19" w:rsidR="00D27E15" w:rsidRDefault="00A75A21" w:rsidP="005C7B26">
      <w:pPr>
        <w:jc w:val="both"/>
      </w:pPr>
      <w:r w:rsidRPr="00050B69">
        <w:rPr>
          <w:b/>
        </w:rPr>
        <w:t xml:space="preserve">Aus </w:t>
      </w:r>
      <w:r w:rsidR="00050B69" w:rsidRPr="00050B69">
        <w:rPr>
          <w:b/>
        </w:rPr>
        <w:t xml:space="preserve">all diesen Gründen </w:t>
      </w:r>
      <w:r w:rsidRPr="00050B69">
        <w:rPr>
          <w:b/>
        </w:rPr>
        <w:t>besteht für diesen Erlass, soweit er die Bekämpfung von COVID-19-bezweckt, keine Notwendigkeit</w:t>
      </w:r>
      <w:r>
        <w:t xml:space="preserve">. </w:t>
      </w:r>
      <w:r w:rsidR="00D27E15">
        <w:t xml:space="preserve">Mit dem geltenden </w:t>
      </w:r>
      <w:proofErr w:type="spellStart"/>
      <w:r w:rsidR="00D27E15">
        <w:t>Epidemiengesetz</w:t>
      </w:r>
      <w:proofErr w:type="spellEnd"/>
      <w:r w:rsidR="00D27E15">
        <w:t xml:space="preserve"> steht dem Bundesrat und den Kantonen eine ausreichende gesetzliche Grundlage zur Verfügung, um mit dem Phänomen COVID-19 adäquat fertig zu werden. </w:t>
      </w:r>
    </w:p>
    <w:p w14:paraId="46823907" w14:textId="58185E67" w:rsidR="001E4DCC" w:rsidRDefault="00D27E15" w:rsidP="005C7B26">
      <w:pPr>
        <w:jc w:val="both"/>
      </w:pPr>
      <w:r w:rsidRPr="00D27E15">
        <w:t>Sollte aber wider Erwarten eine Situation eintreten, in welcher die öffentliche Gesundheit tatsächlich in erheblicher, besonderer Weise gefährdet wäre, stünden dem Bundesrat die bekannten</w:t>
      </w:r>
      <w:r w:rsidR="00064172">
        <w:t xml:space="preserve"> Rechtsgrundlagen zur Verfügung </w:t>
      </w:r>
      <w:r w:rsidR="00EA40CC" w:rsidRPr="00EA40CC">
        <w:t xml:space="preserve">(Art. 6 </w:t>
      </w:r>
      <w:proofErr w:type="spellStart"/>
      <w:r w:rsidR="00EA40CC" w:rsidRPr="00EA40CC">
        <w:t>EpG</w:t>
      </w:r>
      <w:proofErr w:type="spellEnd"/>
      <w:r w:rsidR="00EA40CC" w:rsidRPr="00EA40CC">
        <w:t xml:space="preserve">; bei nachgewiesenem Bedarf allenfalls auch auf Art. 7 </w:t>
      </w:r>
      <w:proofErr w:type="spellStart"/>
      <w:r w:rsidR="00EA40CC" w:rsidRPr="00EA40CC">
        <w:t>EpG</w:t>
      </w:r>
      <w:proofErr w:type="spellEnd"/>
      <w:r w:rsidR="00EA40CC" w:rsidRPr="00EA40CC">
        <w:t xml:space="preserve"> und Art. 185 Abs. 3 BV).</w:t>
      </w:r>
      <w:r w:rsidR="00050B69">
        <w:t xml:space="preserve"> </w:t>
      </w:r>
      <w:r w:rsidR="00EA40CC" w:rsidRPr="00EA40CC">
        <w:t>Davon sind wir heute aber weiter entfernt denn je.</w:t>
      </w:r>
    </w:p>
    <w:p w14:paraId="14903B43" w14:textId="77777777" w:rsidR="001E4DCC" w:rsidRDefault="001E4DCC"/>
    <w:p w14:paraId="6EE951DE" w14:textId="10DF92CA" w:rsidR="00414463" w:rsidRPr="00064172" w:rsidRDefault="00064172">
      <w:pPr>
        <w:rPr>
          <w:b/>
        </w:rPr>
      </w:pPr>
      <w:r w:rsidRPr="00064172">
        <w:rPr>
          <w:b/>
        </w:rPr>
        <w:t xml:space="preserve">3.) Zu </w:t>
      </w:r>
      <w:r w:rsidR="00414463" w:rsidRPr="00064172">
        <w:rPr>
          <w:b/>
        </w:rPr>
        <w:t>Schlussfolgerung 3</w:t>
      </w:r>
      <w:r w:rsidR="00414463" w:rsidRPr="00064172">
        <w:rPr>
          <w:b/>
        </w:rPr>
        <w:tab/>
      </w:r>
      <w:r w:rsidRPr="00064172">
        <w:rPr>
          <w:b/>
        </w:rPr>
        <w:br/>
      </w:r>
      <w:r w:rsidR="00414463" w:rsidRPr="00064172">
        <w:rPr>
          <w:b/>
        </w:rPr>
        <w:t>Mängel, welche verfassungsmässige Rechte und Grundsätze (insbesondere</w:t>
      </w:r>
      <w:r w:rsidR="00634D60" w:rsidRPr="00064172">
        <w:rPr>
          <w:b/>
        </w:rPr>
        <w:t xml:space="preserve"> </w:t>
      </w:r>
      <w:r w:rsidR="00414463" w:rsidRPr="00064172">
        <w:rPr>
          <w:b/>
        </w:rPr>
        <w:t>das Legalitäts</w:t>
      </w:r>
      <w:r w:rsidR="00077582">
        <w:rPr>
          <w:b/>
        </w:rPr>
        <w:t xml:space="preserve">- und </w:t>
      </w:r>
      <w:r w:rsidR="00077582" w:rsidRPr="00064172">
        <w:rPr>
          <w:b/>
        </w:rPr>
        <w:t>Verhältnismässigkeits</w:t>
      </w:r>
      <w:r w:rsidR="00414463" w:rsidRPr="00064172">
        <w:rPr>
          <w:b/>
        </w:rPr>
        <w:t>prinzip) verletzen</w:t>
      </w:r>
    </w:p>
    <w:p w14:paraId="0CA5542A" w14:textId="15F08EFA" w:rsidR="002F3A2E" w:rsidRDefault="00A36416" w:rsidP="005C7B26">
      <w:pPr>
        <w:spacing w:after="120" w:line="240" w:lineRule="auto"/>
        <w:jc w:val="both"/>
      </w:pPr>
      <w:r>
        <w:t xml:space="preserve">Der Entwurf zum Covid-19 Gesetz enthält Artikel, die bewährte Garantien der Bundesverfassung über Bord werfen. </w:t>
      </w:r>
      <w:r w:rsidR="00077582">
        <w:t>Aus diesem Grund ist auf das geplante Gesetz in seiner jetzigen Form nicht einzutreten. Sollte trotz der schwerwiegenden rechtsstaatlichen Mängel eine inhaltliche Beratung erfolgen, müssen d</w:t>
      </w:r>
      <w:r>
        <w:t xml:space="preserve">iese Artikel dringend entfernt </w:t>
      </w:r>
      <w:r w:rsidR="00050B69">
        <w:t xml:space="preserve">oder angepasst </w:t>
      </w:r>
      <w:r>
        <w:t xml:space="preserve">werden. </w:t>
      </w:r>
    </w:p>
    <w:p w14:paraId="1F5616DF" w14:textId="665FEE63" w:rsidR="00A36416" w:rsidRDefault="00064172" w:rsidP="005C7B26">
      <w:pPr>
        <w:spacing w:after="120" w:line="240" w:lineRule="auto"/>
        <w:jc w:val="both"/>
      </w:pPr>
      <w:r>
        <w:rPr>
          <w:b/>
          <w:bCs/>
        </w:rPr>
        <w:t>Z</w:t>
      </w:r>
      <w:r w:rsidR="00A36416">
        <w:rPr>
          <w:b/>
          <w:bCs/>
        </w:rPr>
        <w:t>u streichende Teile</w:t>
      </w:r>
      <w:r w:rsidR="00A36416" w:rsidRPr="00A679A3">
        <w:rPr>
          <w:b/>
          <w:bCs/>
        </w:rPr>
        <w:t>:</w:t>
      </w:r>
      <w:r w:rsidR="00A36416">
        <w:t xml:space="preserve"> Folgend</w:t>
      </w:r>
      <w:r>
        <w:t>e</w:t>
      </w:r>
      <w:r w:rsidR="00A36416">
        <w:t xml:space="preserve"> Artikel und Absätze schätzen wir aus verfassungsrechtlichen Überlegungen als sehr problematisch ein</w:t>
      </w:r>
      <w:r>
        <w:t>, weshalb sie zu streichen sind</w:t>
      </w:r>
      <w:r w:rsidR="00A36416">
        <w:t>:</w:t>
      </w:r>
    </w:p>
    <w:p w14:paraId="09494581" w14:textId="77777777" w:rsidR="00BB5517" w:rsidRDefault="00BB5517" w:rsidP="005C7B26">
      <w:pPr>
        <w:spacing w:after="120" w:line="240" w:lineRule="auto"/>
        <w:jc w:val="both"/>
      </w:pPr>
    </w:p>
    <w:p w14:paraId="4267A41B" w14:textId="77777777" w:rsidR="005C7B26" w:rsidRDefault="00050B69" w:rsidP="005C7B26">
      <w:pPr>
        <w:pStyle w:val="Listenabsatz"/>
        <w:numPr>
          <w:ilvl w:val="0"/>
          <w:numId w:val="2"/>
        </w:numPr>
        <w:spacing w:after="120" w:line="240" w:lineRule="auto"/>
        <w:ind w:left="567" w:hanging="567"/>
        <w:contextualSpacing w:val="0"/>
      </w:pPr>
      <w:r w:rsidRPr="00050B69">
        <w:rPr>
          <w:b/>
        </w:rPr>
        <w:t xml:space="preserve">Art. 2 Abs. 3 </w:t>
      </w:r>
      <w:proofErr w:type="spellStart"/>
      <w:r w:rsidRPr="00050B69">
        <w:rPr>
          <w:b/>
        </w:rPr>
        <w:t>lit</w:t>
      </w:r>
      <w:proofErr w:type="spellEnd"/>
      <w:r w:rsidRPr="00050B69">
        <w:rPr>
          <w:b/>
        </w:rPr>
        <w:t>. g</w:t>
      </w:r>
      <w:r>
        <w:t xml:space="preserve"> betr. Ausnahmen von den Bestimmungen über die Einfuhr von Heilmitteln:</w:t>
      </w:r>
    </w:p>
    <w:p w14:paraId="23600B94" w14:textId="29356F03" w:rsidR="00050B69" w:rsidRPr="00050B69" w:rsidRDefault="00050B69" w:rsidP="005C7B26">
      <w:pPr>
        <w:pStyle w:val="Listenabsatz"/>
        <w:spacing w:after="120" w:line="240" w:lineRule="auto"/>
        <w:ind w:left="567"/>
        <w:contextualSpacing w:val="0"/>
        <w:jc w:val="both"/>
      </w:pPr>
      <w:r>
        <w:t xml:space="preserve">Soweit </w:t>
      </w:r>
      <w:r w:rsidRPr="00511B06">
        <w:t xml:space="preserve">diese </w:t>
      </w:r>
      <w:r w:rsidR="00A87D24" w:rsidRPr="00511B06">
        <w:t>neue Regelung</w:t>
      </w:r>
      <w:r w:rsidRPr="00511B06">
        <w:t xml:space="preserve"> im Resultat</w:t>
      </w:r>
      <w:r>
        <w:t xml:space="preserve"> dazu führt, dass Heilmittel auf den Schweizer Markt gelangen können, welche die üblichen Zulassungsvoraussetzungen für in der Schweiz hergestellt</w:t>
      </w:r>
      <w:r w:rsidR="0026537A">
        <w:t>e</w:t>
      </w:r>
      <w:r>
        <w:t xml:space="preserve"> Heilmittel nicht erfüllen, ist diese Bestimmung zu streichen (s. auch unser Kommentar zu den Bestimmungen Art. 2 Abs. 3 </w:t>
      </w:r>
      <w:proofErr w:type="spellStart"/>
      <w:r>
        <w:t>lit</w:t>
      </w:r>
      <w:proofErr w:type="spellEnd"/>
      <w:r>
        <w:t>. h und i; unten).</w:t>
      </w:r>
    </w:p>
    <w:p w14:paraId="4E9901C9" w14:textId="77777777" w:rsidR="005C7B26" w:rsidRDefault="00064172" w:rsidP="005C7B26">
      <w:pPr>
        <w:pStyle w:val="Listenabsatz"/>
        <w:numPr>
          <w:ilvl w:val="0"/>
          <w:numId w:val="2"/>
        </w:numPr>
        <w:spacing w:after="120" w:line="240" w:lineRule="auto"/>
        <w:ind w:left="567" w:hanging="567"/>
        <w:contextualSpacing w:val="0"/>
      </w:pPr>
      <w:r w:rsidRPr="00064172">
        <w:rPr>
          <w:b/>
        </w:rPr>
        <w:lastRenderedPageBreak/>
        <w:t xml:space="preserve">Art. 2 Abs. 3 </w:t>
      </w:r>
      <w:proofErr w:type="spellStart"/>
      <w:r w:rsidRPr="00064172">
        <w:rPr>
          <w:b/>
        </w:rPr>
        <w:t>lit</w:t>
      </w:r>
      <w:proofErr w:type="spellEnd"/>
      <w:r w:rsidRPr="00064172">
        <w:rPr>
          <w:b/>
        </w:rPr>
        <w:t>. h</w:t>
      </w:r>
      <w:r w:rsidR="00A36416">
        <w:t xml:space="preserve"> betr. Ausnahmen von der </w:t>
      </w:r>
      <w:proofErr w:type="spellStart"/>
      <w:r w:rsidR="00A36416">
        <w:t>Swissmedic</w:t>
      </w:r>
      <w:proofErr w:type="spellEnd"/>
      <w:r w:rsidR="00A36416">
        <w:t xml:space="preserve">-Bewilligungspflicht: </w:t>
      </w:r>
    </w:p>
    <w:p w14:paraId="300EDB72" w14:textId="77777777" w:rsidR="005C7B26" w:rsidRDefault="00A36416" w:rsidP="005C7B26">
      <w:pPr>
        <w:pStyle w:val="Listenabsatz"/>
        <w:spacing w:after="120" w:line="240" w:lineRule="auto"/>
        <w:ind w:left="567"/>
        <w:contextualSpacing w:val="0"/>
        <w:jc w:val="both"/>
      </w:pPr>
      <w:r>
        <w:t xml:space="preserve">Die Gesundheitsversorgung </w:t>
      </w:r>
      <w:r w:rsidR="00077582">
        <w:t xml:space="preserve">in </w:t>
      </w:r>
      <w:r>
        <w:t>der Schweiz ist im internationalen Vergleich auf sehr hohem Niveau. Diese besondere Qualität basiert auf sehr gut qualifiziertem Personal</w:t>
      </w:r>
      <w:r w:rsidR="00050B69">
        <w:t xml:space="preserve"> und </w:t>
      </w:r>
      <w:r>
        <w:t xml:space="preserve">auf qualitativ </w:t>
      </w:r>
      <w:r w:rsidR="00050B69">
        <w:t xml:space="preserve">und quantitativ </w:t>
      </w:r>
      <w:r>
        <w:t xml:space="preserve">hochstehender Spitalinfrastruktur. </w:t>
      </w:r>
    </w:p>
    <w:p w14:paraId="30D833C8" w14:textId="579A0DE7" w:rsidR="00064172" w:rsidRDefault="00A36416" w:rsidP="005C7B26">
      <w:pPr>
        <w:pStyle w:val="Listenabsatz"/>
        <w:spacing w:after="120" w:line="240" w:lineRule="auto"/>
        <w:ind w:left="567"/>
        <w:contextualSpacing w:val="0"/>
        <w:jc w:val="both"/>
      </w:pPr>
      <w:r>
        <w:t xml:space="preserve">Die Phase des Lock-Down hat </w:t>
      </w:r>
      <w:r w:rsidR="00064172">
        <w:t>bewiesen</w:t>
      </w:r>
      <w:r>
        <w:t xml:space="preserve">, dass zu jedem Zeitpunkt ausreichend qualifiziertes Personal und ausreichend Notfallkapazitäten zur Verfügung standen. Eine gewisse zusätzliche Belastung während dieser Phase resultierte aus </w:t>
      </w:r>
      <w:r w:rsidRPr="00B24163">
        <w:t xml:space="preserve">häufigen Umstellungen in den Konzepten, Sicherheitsanforderungen und Abläufen </w:t>
      </w:r>
      <w:r>
        <w:t xml:space="preserve">- nicht aber aus einem erhöhten Personalausfall oder aus einem Ansturm durch Patienten. </w:t>
      </w:r>
    </w:p>
    <w:p w14:paraId="59B429A2" w14:textId="0971D73B" w:rsidR="00064172" w:rsidRDefault="002F3A2E" w:rsidP="005C7B26">
      <w:pPr>
        <w:pStyle w:val="Listenabsatz"/>
        <w:spacing w:after="120" w:line="240" w:lineRule="auto"/>
        <w:ind w:left="567" w:hanging="567"/>
        <w:contextualSpacing w:val="0"/>
        <w:jc w:val="both"/>
      </w:pPr>
      <w:r>
        <w:tab/>
      </w:r>
      <w:r w:rsidR="00A36416">
        <w:t xml:space="preserve">Über die gesamte Schweiz betrachtet erlitten die Krankenhäuser und praktisch sämtliche Arztpraxen in der Schweiz </w:t>
      </w:r>
      <w:r w:rsidR="00050B69">
        <w:t xml:space="preserve">vor allem </w:t>
      </w:r>
      <w:r w:rsidR="00A36416">
        <w:t>einen enormen finanziellen Schaden</w:t>
      </w:r>
      <w:r w:rsidR="00050B69">
        <w:t xml:space="preserve"> aufgrund </w:t>
      </w:r>
      <w:r w:rsidR="00077582">
        <w:t xml:space="preserve">der vom Bundesrat verhängten Behandlungsverbote und </w:t>
      </w:r>
      <w:r w:rsidR="00050B69">
        <w:t>des massiven Nachfrageeinbruchs.</w:t>
      </w:r>
    </w:p>
    <w:p w14:paraId="44B82781" w14:textId="27A4D549" w:rsidR="00A36416" w:rsidRDefault="002F3A2E" w:rsidP="005C7B26">
      <w:pPr>
        <w:pStyle w:val="Listenabsatz"/>
        <w:spacing w:after="120" w:line="240" w:lineRule="auto"/>
        <w:ind w:left="567" w:hanging="567"/>
        <w:contextualSpacing w:val="0"/>
        <w:jc w:val="both"/>
      </w:pPr>
      <w:r>
        <w:tab/>
      </w:r>
      <w:r w:rsidR="00050B69">
        <w:t xml:space="preserve">Aufgrund dieser Erfahrungswerte </w:t>
      </w:r>
      <w:r w:rsidR="00A36416">
        <w:t xml:space="preserve">besteht daher selbst bei einer zweiten Welle keine Notwendigkeit, die Bewilligungspflicht seitens </w:t>
      </w:r>
      <w:proofErr w:type="spellStart"/>
      <w:r w:rsidR="00A36416">
        <w:t>Swissmedic</w:t>
      </w:r>
      <w:proofErr w:type="spellEnd"/>
      <w:r w:rsidR="00A36416">
        <w:t xml:space="preserve"> für bestimmte</w:t>
      </w:r>
      <w:r w:rsidR="00077582">
        <w:t xml:space="preserve"> Tätigkeiten </w:t>
      </w:r>
      <w:r w:rsidR="00A36416">
        <w:t>aufzuheben. Sollte die Situation wider Erwarten nachweislich und deutlich aus dem Ruder laufen, hätte der Bundesrat noch immer die Handlungsmöglichkeit, die notwendigen Anordnungen zeitnah direkt gestützt auf Art. 185 Abs. 3 BV zu erlassen.</w:t>
      </w:r>
    </w:p>
    <w:p w14:paraId="342562C8" w14:textId="4C241EBD" w:rsidR="00064172" w:rsidRDefault="00064172" w:rsidP="005C7B26">
      <w:pPr>
        <w:pStyle w:val="Listenabsatz"/>
        <w:numPr>
          <w:ilvl w:val="0"/>
          <w:numId w:val="2"/>
        </w:numPr>
        <w:spacing w:after="120" w:line="240" w:lineRule="auto"/>
        <w:ind w:left="567" w:hanging="567"/>
        <w:contextualSpacing w:val="0"/>
      </w:pPr>
      <w:r w:rsidRPr="00200CEB">
        <w:rPr>
          <w:b/>
          <w:lang w:val="en-GB"/>
        </w:rPr>
        <w:t xml:space="preserve">Art. </w:t>
      </w:r>
      <w:proofErr w:type="gramStart"/>
      <w:r w:rsidRPr="00200CEB">
        <w:rPr>
          <w:b/>
          <w:lang w:val="en-GB"/>
        </w:rPr>
        <w:t>2</w:t>
      </w:r>
      <w:proofErr w:type="gramEnd"/>
      <w:r w:rsidRPr="00200CEB">
        <w:rPr>
          <w:b/>
          <w:lang w:val="en-GB"/>
        </w:rPr>
        <w:t xml:space="preserve"> Abs. 3 lit. </w:t>
      </w:r>
      <w:proofErr w:type="spellStart"/>
      <w:proofErr w:type="gramStart"/>
      <w:r w:rsidRPr="00200CEB">
        <w:rPr>
          <w:b/>
          <w:lang w:val="en-GB"/>
        </w:rPr>
        <w:t>i</w:t>
      </w:r>
      <w:proofErr w:type="spellEnd"/>
      <w:proofErr w:type="gramEnd"/>
      <w:r w:rsidRPr="00064172">
        <w:rPr>
          <w:lang w:val="en-GB"/>
        </w:rPr>
        <w:t xml:space="preserve"> </w:t>
      </w:r>
      <w:proofErr w:type="spellStart"/>
      <w:r w:rsidRPr="00064172">
        <w:rPr>
          <w:lang w:val="en-GB"/>
        </w:rPr>
        <w:t>betr</w:t>
      </w:r>
      <w:proofErr w:type="spellEnd"/>
      <w:r w:rsidRPr="00064172">
        <w:rPr>
          <w:lang w:val="en-GB"/>
        </w:rPr>
        <w:t xml:space="preserve">. </w:t>
      </w:r>
      <w:r>
        <w:t>Lockeru</w:t>
      </w:r>
      <w:r w:rsidRPr="00064172">
        <w:t xml:space="preserve">ng </w:t>
      </w:r>
      <w:r>
        <w:t xml:space="preserve">von </w:t>
      </w:r>
      <w:r w:rsidR="00A36416">
        <w:t xml:space="preserve">Zulassungskriterien </w:t>
      </w:r>
      <w:r w:rsidR="006E0949">
        <w:t>für Arzneimittel</w:t>
      </w:r>
      <w:r w:rsidR="00200CEB">
        <w:t>:</w:t>
      </w:r>
    </w:p>
    <w:p w14:paraId="22225C89" w14:textId="77777777" w:rsidR="005C7B26" w:rsidRDefault="002F3A2E" w:rsidP="005C7B26">
      <w:pPr>
        <w:pStyle w:val="Listenabsatz"/>
        <w:spacing w:after="120" w:line="240" w:lineRule="auto"/>
        <w:ind w:left="567" w:hanging="567"/>
        <w:contextualSpacing w:val="0"/>
        <w:jc w:val="both"/>
      </w:pPr>
      <w:r>
        <w:tab/>
      </w:r>
      <w:r w:rsidR="00064172">
        <w:t>Bewilligungspflicht und Zulassungskriterien</w:t>
      </w:r>
      <w:r w:rsidR="006E0949">
        <w:t xml:space="preserve"> </w:t>
      </w:r>
      <w:r w:rsidR="00064172">
        <w:t>für Arzneimittel bezwecken,</w:t>
      </w:r>
      <w:r w:rsidR="00A36416">
        <w:t xml:space="preserve"> den Gesundheitsschutz der einheimischen Bevölkerung vor risikobehafteten </w:t>
      </w:r>
      <w:r w:rsidR="006E0949">
        <w:t>P</w:t>
      </w:r>
      <w:r w:rsidR="00A36416">
        <w:t xml:space="preserve">rodukten sicherzustellen. Die vorliegende Bestimmung würde den Bundesrat ermächtigen, je nach Lage </w:t>
      </w:r>
      <w:r w:rsidR="00200CEB">
        <w:t>(</w:t>
      </w:r>
      <w:r w:rsidR="00A36416">
        <w:t>und je nachdem, welche Berichterstattung in den Medien gerade vorherrscht</w:t>
      </w:r>
      <w:r w:rsidR="00200CEB">
        <w:t>)</w:t>
      </w:r>
      <w:r w:rsidR="00A36416">
        <w:t xml:space="preserve">, die hohen schweizerischen Standards zu senken. Dies wäre mit dem verfassungsrechtlichen Schutzauftrag an den Bund gegenüber der öffentlichen </w:t>
      </w:r>
      <w:r w:rsidR="00BC0A53">
        <w:t>Gesundheit</w:t>
      </w:r>
      <w:r w:rsidR="00A36416">
        <w:t xml:space="preserve"> gemäss Art. 118 Abs. 1 BV nicht vereinbar. </w:t>
      </w:r>
      <w:r w:rsidR="00BC0A53">
        <w:t>Die vorgesehene Bestimmung</w:t>
      </w:r>
      <w:r w:rsidR="00200CEB">
        <w:t xml:space="preserve"> würde darauf hinauslaufen</w:t>
      </w:r>
      <w:r w:rsidR="00A36416">
        <w:t xml:space="preserve">, dass für eine </w:t>
      </w:r>
      <w:r w:rsidR="00BC0A53">
        <w:t>unbegrenzte</w:t>
      </w:r>
      <w:r w:rsidR="00A36416">
        <w:t xml:space="preserve"> Zahl von Personen in der Schweiz der Schutz ihrer persönlichen Unversehrtheit nach dem üblichen Standard von Art. 10 Abs. 2 </w:t>
      </w:r>
      <w:proofErr w:type="spellStart"/>
      <w:r w:rsidR="00A36416">
        <w:t>i.V.m</w:t>
      </w:r>
      <w:proofErr w:type="spellEnd"/>
      <w:r w:rsidR="00A36416">
        <w:t xml:space="preserve">. Art. 36 BV nicht mehr </w:t>
      </w:r>
      <w:r w:rsidR="00A36416" w:rsidRPr="00581C56">
        <w:t>gewährleistet wäre</w:t>
      </w:r>
      <w:r w:rsidR="00A36416">
        <w:t>.</w:t>
      </w:r>
    </w:p>
    <w:p w14:paraId="67D04612" w14:textId="03206F6C" w:rsidR="00A36416" w:rsidRDefault="006E0949" w:rsidP="005C7B26">
      <w:pPr>
        <w:pStyle w:val="Listenabsatz"/>
        <w:spacing w:after="120" w:line="240" w:lineRule="auto"/>
        <w:ind w:left="567"/>
        <w:contextualSpacing w:val="0"/>
        <w:jc w:val="both"/>
      </w:pPr>
      <w:r>
        <w:t xml:space="preserve">Im </w:t>
      </w:r>
      <w:proofErr w:type="spellStart"/>
      <w:r>
        <w:t>Worst</w:t>
      </w:r>
      <w:proofErr w:type="spellEnd"/>
      <w:r>
        <w:t xml:space="preserve"> Case könnte dies </w:t>
      </w:r>
      <w:r w:rsidR="00064172">
        <w:t>auch zur Folge haben</w:t>
      </w:r>
      <w:r w:rsidRPr="00BC0A53">
        <w:t xml:space="preserve">, dass Impfstoffe, welche </w:t>
      </w:r>
      <w:r w:rsidR="00064172">
        <w:t xml:space="preserve">allenfalls </w:t>
      </w:r>
      <w:r w:rsidR="00077582">
        <w:t xml:space="preserve">noch nicht ausreichend auf ihre gesundheitliche Unbedenklichkeit geprüft wurden oder sogar </w:t>
      </w:r>
      <w:r w:rsidRPr="00BC0A53">
        <w:t>in die Erbsubstanz eingreifen</w:t>
      </w:r>
      <w:r w:rsidR="00077582">
        <w:t>,</w:t>
      </w:r>
      <w:r w:rsidRPr="00BC0A53">
        <w:t xml:space="preserve"> ohne gerichtliche Überprüfung für bestimmte Personengruppen (</w:t>
      </w:r>
      <w:r w:rsidR="00064172">
        <w:t>in Verbindung mit</w:t>
      </w:r>
      <w:r w:rsidRPr="00BC0A53">
        <w:t xml:space="preserve"> Art. 6 Abs. 2 </w:t>
      </w:r>
      <w:proofErr w:type="spellStart"/>
      <w:r w:rsidRPr="00BC0A53">
        <w:t>lit</w:t>
      </w:r>
      <w:proofErr w:type="spellEnd"/>
      <w:r w:rsidRPr="00BC0A53">
        <w:t xml:space="preserve">. d </w:t>
      </w:r>
      <w:proofErr w:type="spellStart"/>
      <w:r w:rsidRPr="00BC0A53">
        <w:t>EpG</w:t>
      </w:r>
      <w:proofErr w:type="spellEnd"/>
      <w:r w:rsidRPr="00BC0A53">
        <w:t>)</w:t>
      </w:r>
      <w:r>
        <w:t xml:space="preserve"> </w:t>
      </w:r>
      <w:r w:rsidRPr="00BC0A53">
        <w:t>für obligatorisch erklärt werden</w:t>
      </w:r>
      <w:r w:rsidR="00200CEB">
        <w:t xml:space="preserve"> könnten</w:t>
      </w:r>
      <w:r>
        <w:t>. Dazu könnte es kommen</w:t>
      </w:r>
      <w:r w:rsidRPr="00BC0A53">
        <w:t xml:space="preserve">, obwohl </w:t>
      </w:r>
      <w:r w:rsidR="00F421B7">
        <w:t>I</w:t>
      </w:r>
      <w:r w:rsidRPr="00BC0A53">
        <w:t xml:space="preserve">mpfungen und insbesondere die Veränderung der menschlichen Erbsubstanz als ein </w:t>
      </w:r>
      <w:r w:rsidRPr="006E0949">
        <w:rPr>
          <w:b/>
        </w:rPr>
        <w:t>Eingriff in den Kerngehalt der körperlichen Unversehrt</w:t>
      </w:r>
      <w:r w:rsidR="00077582">
        <w:rPr>
          <w:b/>
        </w:rPr>
        <w:t>heit</w:t>
      </w:r>
      <w:r w:rsidRPr="00BC0A53">
        <w:t xml:space="preserve"> zu betrachten </w:t>
      </w:r>
      <w:r w:rsidRPr="00926486">
        <w:t>wäre</w:t>
      </w:r>
      <w:r w:rsidR="00064172" w:rsidRPr="00926486">
        <w:t>n</w:t>
      </w:r>
      <w:r w:rsidR="00F06221" w:rsidRPr="00926486">
        <w:t xml:space="preserve"> (im Sinne von Art. 10 Abs. 2 in Verbindung mit Art. 36 Abs. 4 BV)</w:t>
      </w:r>
      <w:r w:rsidRPr="00926486">
        <w:t>.</w:t>
      </w:r>
      <w:r w:rsidRPr="00BC0A53">
        <w:t xml:space="preserve"> </w:t>
      </w:r>
    </w:p>
    <w:p w14:paraId="561CF4B8" w14:textId="77777777" w:rsidR="005C7B26" w:rsidRDefault="00200CEB" w:rsidP="005C7B26">
      <w:pPr>
        <w:pStyle w:val="Listenabsatz"/>
        <w:numPr>
          <w:ilvl w:val="0"/>
          <w:numId w:val="2"/>
        </w:numPr>
        <w:spacing w:after="120" w:line="240" w:lineRule="auto"/>
        <w:ind w:left="567" w:hanging="567"/>
        <w:contextualSpacing w:val="0"/>
      </w:pPr>
      <w:r>
        <w:rPr>
          <w:b/>
        </w:rPr>
        <w:t xml:space="preserve">Art. 2 Abs. 3 </w:t>
      </w:r>
      <w:proofErr w:type="spellStart"/>
      <w:r>
        <w:rPr>
          <w:b/>
        </w:rPr>
        <w:t>lit</w:t>
      </w:r>
      <w:proofErr w:type="spellEnd"/>
      <w:r>
        <w:rPr>
          <w:b/>
        </w:rPr>
        <w:t>. j</w:t>
      </w:r>
      <w:r w:rsidR="00A36416" w:rsidRPr="00813D85">
        <w:t xml:space="preserve"> </w:t>
      </w:r>
      <w:r>
        <w:t xml:space="preserve">betr. </w:t>
      </w:r>
      <w:r w:rsidR="00A36416" w:rsidRPr="00813D85">
        <w:t>pauschale Lock</w:t>
      </w:r>
      <w:r w:rsidR="00A36416">
        <w:t>er</w:t>
      </w:r>
      <w:r w:rsidR="00A36416" w:rsidRPr="00813D85">
        <w:t>ung der Sicherheitsvorkehrungen für alle Medizinprodukte</w:t>
      </w:r>
      <w:r>
        <w:t>:</w:t>
      </w:r>
    </w:p>
    <w:p w14:paraId="379A2EFC" w14:textId="77777777" w:rsidR="005C7B26" w:rsidRDefault="00200CEB" w:rsidP="005C7B26">
      <w:pPr>
        <w:pStyle w:val="Listenabsatz"/>
        <w:spacing w:after="120" w:line="240" w:lineRule="auto"/>
        <w:ind w:left="567"/>
        <w:contextualSpacing w:val="0"/>
        <w:jc w:val="both"/>
      </w:pPr>
      <w:r>
        <w:t xml:space="preserve">Diese </w:t>
      </w:r>
      <w:r w:rsidR="00A36416" w:rsidRPr="00813D85">
        <w:t xml:space="preserve">ist </w:t>
      </w:r>
      <w:r w:rsidR="00A36416">
        <w:t xml:space="preserve">aus demselben Grund </w:t>
      </w:r>
      <w:r w:rsidR="00A36416" w:rsidRPr="00813D85">
        <w:t>klar abzulehnen</w:t>
      </w:r>
      <w:r>
        <w:t xml:space="preserve"> wie die Bestimmung zuvor</w:t>
      </w:r>
      <w:r w:rsidR="00A36416" w:rsidRPr="00813D85">
        <w:t xml:space="preserve">. </w:t>
      </w:r>
      <w:r w:rsidR="00A36416" w:rsidRPr="00581C56">
        <w:t xml:space="preserve">Die Bestimmungen über die </w:t>
      </w:r>
      <w:r w:rsidR="00A36416">
        <w:t xml:space="preserve">Konformitätsbewertung von </w:t>
      </w:r>
      <w:r w:rsidR="006E0949">
        <w:t xml:space="preserve">Medizinprodukten </w:t>
      </w:r>
      <w:r w:rsidR="00A36416" w:rsidRPr="00581C56">
        <w:t>bezwecken</w:t>
      </w:r>
      <w:r>
        <w:t xml:space="preserve"> gerade</w:t>
      </w:r>
      <w:r w:rsidR="00A36416" w:rsidRPr="00581C56">
        <w:t xml:space="preserve">, den Gesundheitsschutz der einheimischen Bevölkerung vor risikobehafteten ausländischen Arzneimittelprodukten sicherzustellen. Die vorliegende Bestimmung würde den Bundesrat ermächtigen, je nach Lage </w:t>
      </w:r>
      <w:r>
        <w:t>(</w:t>
      </w:r>
      <w:r w:rsidR="00A36416" w:rsidRPr="00581C56">
        <w:t xml:space="preserve">und je nachdem, welche Berichterstattung in den Medien gerade </w:t>
      </w:r>
      <w:r w:rsidR="00A36416">
        <w:t>vorherrscht</w:t>
      </w:r>
      <w:r>
        <w:t>)</w:t>
      </w:r>
      <w:r w:rsidR="00A36416" w:rsidRPr="00581C56">
        <w:t>, die hohen schweizerischen Standards fallen zu lassen. Dies wäre mit dem Schutzauftrag des Bundes gegenüber der körperlichen Unversehrtheit der Bevölkerung gemäss Art. 118 Abs. 1 BV nicht vereinbar</w:t>
      </w:r>
      <w:r w:rsidR="00A36416">
        <w:t>.</w:t>
      </w:r>
    </w:p>
    <w:p w14:paraId="3C1D01F2" w14:textId="6A2569AA" w:rsidR="00A36416" w:rsidRDefault="006E0949" w:rsidP="005C7B26">
      <w:pPr>
        <w:pStyle w:val="Listenabsatz"/>
        <w:spacing w:after="120" w:line="240" w:lineRule="auto"/>
        <w:ind w:left="567"/>
        <w:contextualSpacing w:val="0"/>
        <w:jc w:val="both"/>
      </w:pPr>
      <w:r>
        <w:t>Im</w:t>
      </w:r>
      <w:r w:rsidR="00077582">
        <w:t xml:space="preserve"> Übrigen droht der gleiche</w:t>
      </w:r>
      <w:r>
        <w:t xml:space="preserve"> </w:t>
      </w:r>
      <w:proofErr w:type="spellStart"/>
      <w:r>
        <w:t>Worst</w:t>
      </w:r>
      <w:proofErr w:type="spellEnd"/>
      <w:r>
        <w:t xml:space="preserve"> Case</w:t>
      </w:r>
      <w:r w:rsidR="00077582">
        <w:t xml:space="preserve">, der vorstehend zu Art. 2 Abs. 3 </w:t>
      </w:r>
      <w:proofErr w:type="spellStart"/>
      <w:r w:rsidR="00077582">
        <w:t>lit</w:t>
      </w:r>
      <w:proofErr w:type="spellEnd"/>
      <w:r w:rsidR="00077582">
        <w:t xml:space="preserve">. i beschrieben wurde. </w:t>
      </w:r>
    </w:p>
    <w:p w14:paraId="38539166" w14:textId="77777777" w:rsidR="00BB5517" w:rsidRPr="00813D85" w:rsidRDefault="00BB5517" w:rsidP="005C7B26">
      <w:pPr>
        <w:pStyle w:val="Listenabsatz"/>
        <w:spacing w:after="120" w:line="240" w:lineRule="auto"/>
        <w:ind w:left="567"/>
        <w:contextualSpacing w:val="0"/>
        <w:jc w:val="both"/>
      </w:pPr>
    </w:p>
    <w:p w14:paraId="583580E6" w14:textId="77777777" w:rsidR="005C7B26" w:rsidRDefault="00A36416" w:rsidP="005C7B26">
      <w:pPr>
        <w:pStyle w:val="Listenabsatz"/>
        <w:numPr>
          <w:ilvl w:val="0"/>
          <w:numId w:val="2"/>
        </w:numPr>
        <w:spacing w:after="120" w:line="240" w:lineRule="auto"/>
        <w:ind w:left="567" w:hanging="567"/>
        <w:contextualSpacing w:val="0"/>
      </w:pPr>
      <w:r w:rsidRPr="00200CEB">
        <w:rPr>
          <w:b/>
        </w:rPr>
        <w:lastRenderedPageBreak/>
        <w:t xml:space="preserve">Art. 2 Abs. </w:t>
      </w:r>
      <w:proofErr w:type="gramStart"/>
      <w:r w:rsidRPr="00200CEB">
        <w:rPr>
          <w:b/>
        </w:rPr>
        <w:t>6</w:t>
      </w:r>
      <w:r w:rsidRPr="00813D85">
        <w:t xml:space="preserve"> </w:t>
      </w:r>
      <w:r w:rsidR="00200CEB">
        <w:t xml:space="preserve"> betreffend</w:t>
      </w:r>
      <w:proofErr w:type="gramEnd"/>
      <w:r w:rsidR="00200CEB">
        <w:t xml:space="preserve"> Schutz besonders gefährdeter Personen</w:t>
      </w:r>
    </w:p>
    <w:p w14:paraId="359B9B09" w14:textId="798BE2F4" w:rsidR="00A36416" w:rsidRDefault="001C4231" w:rsidP="005C7B26">
      <w:pPr>
        <w:pStyle w:val="Listenabsatz"/>
        <w:spacing w:after="120" w:line="240" w:lineRule="auto"/>
        <w:ind w:left="567"/>
        <w:contextualSpacing w:val="0"/>
        <w:jc w:val="both"/>
      </w:pPr>
      <w:r>
        <w:t>Der Bedarf an einer schweizweit einheitlichen Regelung ist nicht ausreichend nachgewiesen</w:t>
      </w:r>
      <w:r w:rsidR="00A36416" w:rsidRPr="00813D85">
        <w:t>.</w:t>
      </w:r>
      <w:r>
        <w:t xml:space="preserve"> Es g</w:t>
      </w:r>
      <w:r w:rsidR="003C1A60">
        <w:t>i</w:t>
      </w:r>
      <w:r>
        <w:t>bt keinen Grund, von der föderalen Ordnung und der grundsätzlichen Zuständigkeit der Kantone abzuweichen. D</w:t>
      </w:r>
      <w:r w:rsidR="00200CEB">
        <w:t xml:space="preserve">as Prinzip der Selbstverantwortung und der Menschenwürde (gerade bei älteren Personen) </w:t>
      </w:r>
      <w:r>
        <w:t xml:space="preserve">muss </w:t>
      </w:r>
      <w:r w:rsidR="00200CEB">
        <w:t>gewahrt bleiben.</w:t>
      </w:r>
      <w:r>
        <w:t xml:space="preserve"> </w:t>
      </w:r>
      <w:r w:rsidR="003C1A60">
        <w:t xml:space="preserve">So ist es etwa von vornherein verfehlt, alle Menschen über 65 Jahre als besonders gefährdete Personen zu betrachten, wie das im Erläuternden Bericht geschieht. </w:t>
      </w:r>
      <w:r>
        <w:t xml:space="preserve">Die vorgeschlagene Regelung </w:t>
      </w:r>
      <w:r w:rsidR="003C1A60">
        <w:t xml:space="preserve">ist </w:t>
      </w:r>
      <w:r>
        <w:t xml:space="preserve">ein nicht gerechtfertigter Eingriff in die Wirtschaftsfreiheit und </w:t>
      </w:r>
      <w:proofErr w:type="gramStart"/>
      <w:r>
        <w:t>das</w:t>
      </w:r>
      <w:proofErr w:type="gramEnd"/>
      <w:r>
        <w:t xml:space="preserve"> Recht jedes Arbeitgebers, die für seinen Geschäftsbetrieb sinnvollen Massnahmen zum Gesundheitsschutz der von ihm beschäftigen Personen vorzusehen (Fürsorgepflicht des Arbeitgebers). In vielen Fällen wird eine pauschale Regelung den individuellen Verhältnissen nicht ausreichend Rechnung tragen und sich damit als unverhältnismässig erweisen. Aus diesem Grund ist dieser Absatz zu streichen.</w:t>
      </w:r>
      <w:r w:rsidR="003C1A60">
        <w:t xml:space="preserve"> </w:t>
      </w:r>
      <w:r w:rsidR="00A36416" w:rsidRPr="00813D85">
        <w:br/>
      </w:r>
    </w:p>
    <w:p w14:paraId="16B9DC90" w14:textId="77777777" w:rsidR="005C7B26" w:rsidRDefault="00200CEB" w:rsidP="005C7B26">
      <w:pPr>
        <w:pStyle w:val="Listenabsatz"/>
        <w:numPr>
          <w:ilvl w:val="0"/>
          <w:numId w:val="2"/>
        </w:numPr>
        <w:spacing w:after="120" w:line="240" w:lineRule="auto"/>
        <w:ind w:left="567" w:hanging="567"/>
        <w:contextualSpacing w:val="0"/>
      </w:pPr>
      <w:r w:rsidRPr="00200CEB">
        <w:rPr>
          <w:b/>
        </w:rPr>
        <w:t xml:space="preserve">Art. 8 </w:t>
      </w:r>
      <w:r>
        <w:t>betr. Finanzielle Unterstützung der Medien:</w:t>
      </w:r>
    </w:p>
    <w:p w14:paraId="2D89145C" w14:textId="7D21DA1F" w:rsidR="005C7B26" w:rsidRDefault="00A36416" w:rsidP="005C7B26">
      <w:pPr>
        <w:pStyle w:val="Listenabsatz"/>
        <w:spacing w:after="120" w:line="240" w:lineRule="auto"/>
        <w:ind w:left="567"/>
        <w:contextualSpacing w:val="0"/>
      </w:pPr>
      <w:r>
        <w:t xml:space="preserve">Die starke finanzielle Unterstützung der grossen schweizerischen Medienhäuser auf der Basis der COVID-19 Verordnungen hat dazu geführt, dass die sog. vierte Macht im </w:t>
      </w:r>
      <w:proofErr w:type="gramStart"/>
      <w:r>
        <w:t>Staat  so</w:t>
      </w:r>
      <w:proofErr w:type="gramEnd"/>
      <w:r>
        <w:t xml:space="preserve"> gut wie ausschliesslich die Sicht des Bundesrates transportiert</w:t>
      </w:r>
      <w:r w:rsidR="00200CEB">
        <w:t>e</w:t>
      </w:r>
      <w:r w:rsidR="005C7B26">
        <w:t>.</w:t>
      </w:r>
    </w:p>
    <w:p w14:paraId="14FD8C0C" w14:textId="77777777" w:rsidR="005C7B26" w:rsidRDefault="00A36416" w:rsidP="005C7B26">
      <w:pPr>
        <w:pStyle w:val="Listenabsatz"/>
        <w:spacing w:after="120" w:line="240" w:lineRule="auto"/>
        <w:ind w:left="567"/>
        <w:contextualSpacing w:val="0"/>
        <w:jc w:val="both"/>
      </w:pPr>
      <w:r>
        <w:t xml:space="preserve">Abweichende wissenschaftliche Meinungen zum Phänomen COVID-19 und zum Umgang damit (geäussert beispielsweise von den Professoren </w:t>
      </w:r>
      <w:proofErr w:type="spellStart"/>
      <w:r>
        <w:t>Bakhdi</w:t>
      </w:r>
      <w:proofErr w:type="spellEnd"/>
      <w:r w:rsidR="00117324">
        <w:t>,</w:t>
      </w:r>
      <w:r>
        <w:t xml:space="preserve"> </w:t>
      </w:r>
      <w:proofErr w:type="spellStart"/>
      <w:r>
        <w:t>Streeck</w:t>
      </w:r>
      <w:proofErr w:type="spellEnd"/>
      <w:r w:rsidR="00117324">
        <w:t>,</w:t>
      </w:r>
      <w:r>
        <w:t xml:space="preserve"> Püschel oder Dr. </w:t>
      </w:r>
      <w:proofErr w:type="spellStart"/>
      <w:r>
        <w:t>Wodarg</w:t>
      </w:r>
      <w:proofErr w:type="spellEnd"/>
      <w:r>
        <w:t>) w</w:t>
      </w:r>
      <w:r w:rsidR="00064172">
        <w:t xml:space="preserve">erden bis heute </w:t>
      </w:r>
      <w:r>
        <w:t>vollständig ausgeblendet. Personen, welche in der Öffentlichkeit eine vom Bundesrat abweichende Meinung vertr</w:t>
      </w:r>
      <w:r w:rsidR="00200CEB">
        <w:t>e</w:t>
      </w:r>
      <w:r>
        <w:t>ten, w</w:t>
      </w:r>
      <w:r w:rsidR="00200CEB">
        <w:t>e</w:t>
      </w:r>
      <w:r>
        <w:t xml:space="preserve">rden entweder ignoriert oder als verrückt </w:t>
      </w:r>
      <w:r w:rsidR="00064172">
        <w:t xml:space="preserve">bis gefährlich </w:t>
      </w:r>
      <w:r>
        <w:t>dargestellt.</w:t>
      </w:r>
      <w:r w:rsidR="007E259C">
        <w:t xml:space="preserve"> Viele Medien haben sich </w:t>
      </w:r>
      <w:r w:rsidR="00200CEB">
        <w:t xml:space="preserve">durch die starken Bundesgelder </w:t>
      </w:r>
      <w:r w:rsidR="007E259C">
        <w:t xml:space="preserve">zu einer Berichterstattung hinreissen lassen, welche unter der Perspektive von </w:t>
      </w:r>
      <w:r w:rsidR="007E259C" w:rsidRPr="007E259C">
        <w:rPr>
          <w:b/>
        </w:rPr>
        <w:t xml:space="preserve">Art. 258 StGB </w:t>
      </w:r>
      <w:r w:rsidR="007E259C">
        <w:t>(</w:t>
      </w:r>
      <w:proofErr w:type="spellStart"/>
      <w:r w:rsidR="007E259C">
        <w:t>Schreckung</w:t>
      </w:r>
      <w:proofErr w:type="spellEnd"/>
      <w:r w:rsidR="007E259C">
        <w:t xml:space="preserve"> der Bevölkerung) </w:t>
      </w:r>
      <w:r w:rsidR="00200CEB">
        <w:t xml:space="preserve">im höchsten Mass </w:t>
      </w:r>
      <w:r w:rsidR="007E259C">
        <w:t>problematisch ist</w:t>
      </w:r>
      <w:r w:rsidR="00200CEB">
        <w:t xml:space="preserve"> und im Einzelfall </w:t>
      </w:r>
      <w:r w:rsidR="00117324">
        <w:t xml:space="preserve">vermutlich </w:t>
      </w:r>
      <w:r w:rsidR="00200CEB">
        <w:t>einschlägig war</w:t>
      </w:r>
      <w:r w:rsidR="007E259C">
        <w:t>.</w:t>
      </w:r>
      <w:r>
        <w:t xml:space="preserve"> </w:t>
      </w:r>
    </w:p>
    <w:p w14:paraId="32792F91" w14:textId="24851D28" w:rsidR="00064172" w:rsidRDefault="00064172" w:rsidP="005C7B26">
      <w:pPr>
        <w:pStyle w:val="Listenabsatz"/>
        <w:spacing w:after="120" w:line="240" w:lineRule="auto"/>
        <w:ind w:left="567"/>
        <w:contextualSpacing w:val="0"/>
        <w:jc w:val="both"/>
      </w:pPr>
      <w:r>
        <w:t>Diese von den Medien getriebene Entwicklung betrachten wir</w:t>
      </w:r>
      <w:r w:rsidR="00A36416">
        <w:t xml:space="preserve"> als eine </w:t>
      </w:r>
      <w:r w:rsidR="007E259C">
        <w:t xml:space="preserve">echte </w:t>
      </w:r>
      <w:r w:rsidR="00A36416">
        <w:t xml:space="preserve">Gefahr für </w:t>
      </w:r>
      <w:r w:rsidR="007E259C">
        <w:t>unsere</w:t>
      </w:r>
      <w:r w:rsidR="00A36416">
        <w:t xml:space="preserve"> Demokratie. </w:t>
      </w:r>
      <w:r w:rsidR="007E259C" w:rsidRPr="00926486">
        <w:rPr>
          <w:b/>
        </w:rPr>
        <w:t>Aus diesem</w:t>
      </w:r>
      <w:r w:rsidR="0097161C" w:rsidRPr="00926486">
        <w:rPr>
          <w:b/>
        </w:rPr>
        <w:t xml:space="preserve"> </w:t>
      </w:r>
      <w:r w:rsidR="007E259C" w:rsidRPr="00926486">
        <w:rPr>
          <w:b/>
        </w:rPr>
        <w:t>Grund sind</w:t>
      </w:r>
      <w:r w:rsidR="007E259C">
        <w:rPr>
          <w:b/>
        </w:rPr>
        <w:t xml:space="preserve"> die </w:t>
      </w:r>
      <w:r w:rsidR="00A36416" w:rsidRPr="007E259C">
        <w:rPr>
          <w:b/>
        </w:rPr>
        <w:t>M</w:t>
      </w:r>
      <w:r w:rsidR="007E259C">
        <w:rPr>
          <w:b/>
        </w:rPr>
        <w:t xml:space="preserve">assnahmen im Medienbereich </w:t>
      </w:r>
      <w:r w:rsidRPr="007E259C">
        <w:rPr>
          <w:b/>
        </w:rPr>
        <w:t xml:space="preserve">im Zusammenhang mit Covid-19 </w:t>
      </w:r>
      <w:r w:rsidR="007E259C">
        <w:rPr>
          <w:b/>
        </w:rPr>
        <w:t xml:space="preserve">gemäss Art.8 der Vorlage (sowie bei jeder weiteren Epidemie) </w:t>
      </w:r>
      <w:r w:rsidR="00200CEB">
        <w:rPr>
          <w:b/>
        </w:rPr>
        <w:t xml:space="preserve">ersatzlos </w:t>
      </w:r>
      <w:r w:rsidRPr="007E259C">
        <w:rPr>
          <w:b/>
        </w:rPr>
        <w:t>abzulehnen.</w:t>
      </w:r>
      <w:r>
        <w:t xml:space="preserve"> </w:t>
      </w:r>
    </w:p>
    <w:p w14:paraId="046B5E62" w14:textId="77777777" w:rsidR="005C7B26" w:rsidRDefault="002F3A2E" w:rsidP="005C7B26">
      <w:pPr>
        <w:pStyle w:val="Listenabsatz"/>
        <w:spacing w:after="120" w:line="240" w:lineRule="auto"/>
        <w:ind w:left="567" w:hanging="567"/>
        <w:contextualSpacing w:val="0"/>
        <w:jc w:val="both"/>
      </w:pPr>
      <w:r>
        <w:tab/>
      </w:r>
      <w:r w:rsidR="00A36416">
        <w:t xml:space="preserve">Sollte der Bundesrat über eine Medienförderung nachdenken wollen, müsste der erste Gedanke einem </w:t>
      </w:r>
      <w:proofErr w:type="spellStart"/>
      <w:r w:rsidR="00A36416" w:rsidRPr="002B7E6B">
        <w:rPr>
          <w:b/>
        </w:rPr>
        <w:t>Qualitätsmonitoring</w:t>
      </w:r>
      <w:proofErr w:type="spellEnd"/>
      <w:r w:rsidR="00A36416">
        <w:t xml:space="preserve"> gelten. Dieses müsste von einer unabhängigen und vom Volk gewählten Stelle überwacht werden. Wie sich in den letzten Monaten eindrücklich gezeigt hat, ist eine Finanzierung durch den Bund als Mittel </w:t>
      </w:r>
      <w:r w:rsidR="00117324">
        <w:t xml:space="preserve">denkbar </w:t>
      </w:r>
      <w:r w:rsidR="00A36416">
        <w:t>ungeeignet</w:t>
      </w:r>
      <w:r w:rsidR="00117324">
        <w:t>,</w:t>
      </w:r>
      <w:r w:rsidR="00A36416">
        <w:t xml:space="preserve"> um eine qualitativ hochwertige und unabhängig</w:t>
      </w:r>
      <w:r w:rsidR="00536562">
        <w:t>e Berichterstattung zu sichern.</w:t>
      </w:r>
    </w:p>
    <w:p w14:paraId="66FBBDF9" w14:textId="77777777" w:rsidR="005C7B26" w:rsidRDefault="00536562" w:rsidP="005C7B26">
      <w:pPr>
        <w:pStyle w:val="Listenabsatz"/>
        <w:numPr>
          <w:ilvl w:val="0"/>
          <w:numId w:val="10"/>
        </w:numPr>
        <w:spacing w:after="120"/>
        <w:ind w:left="567" w:hanging="567"/>
      </w:pPr>
      <w:r w:rsidRPr="00536562">
        <w:rPr>
          <w:b/>
        </w:rPr>
        <w:t>Art. 11</w:t>
      </w:r>
      <w:r>
        <w:t xml:space="preserve"> betr. </w:t>
      </w:r>
      <w:r w:rsidRPr="00536562">
        <w:t>Aufs</w:t>
      </w:r>
      <w:r w:rsidR="005C7B26">
        <w:t>tellung neuer Straftatbestände:</w:t>
      </w:r>
    </w:p>
    <w:p w14:paraId="0DF13E43" w14:textId="0B5B5C8C" w:rsidR="005C7B26" w:rsidRDefault="00536562" w:rsidP="005C7B26">
      <w:pPr>
        <w:pStyle w:val="Listenabsatz"/>
        <w:spacing w:after="120"/>
        <w:ind w:left="567"/>
        <w:jc w:val="both"/>
      </w:pPr>
      <w:r w:rsidRPr="00536562">
        <w:t xml:space="preserve">Art. 123 Abs. 1 BV erklärt </w:t>
      </w:r>
      <w:r>
        <w:t>das Strafrecht zur Bundessache und</w:t>
      </w:r>
      <w:r w:rsidRPr="00536562">
        <w:t xml:space="preserve"> Art. 1 StGB statuiert den Satz „Keine Strafe ohne Gesetz“</w:t>
      </w:r>
      <w:r>
        <w:t>, welcher seit</w:t>
      </w:r>
      <w:r w:rsidRPr="00536562">
        <w:t xml:space="preserve"> dem </w:t>
      </w:r>
      <w:proofErr w:type="spellStart"/>
      <w:r w:rsidRPr="00536562">
        <w:t>Alten</w:t>
      </w:r>
      <w:proofErr w:type="spellEnd"/>
      <w:r w:rsidRPr="00536562">
        <w:t xml:space="preserve"> Rom </w:t>
      </w:r>
      <w:r>
        <w:t xml:space="preserve">gilt </w:t>
      </w:r>
      <w:r w:rsidRPr="00536562">
        <w:t>(</w:t>
      </w:r>
      <w:proofErr w:type="spellStart"/>
      <w:r w:rsidRPr="00536562">
        <w:t>Nulla</w:t>
      </w:r>
      <w:proofErr w:type="spellEnd"/>
      <w:r w:rsidRPr="00536562">
        <w:t xml:space="preserve"> </w:t>
      </w:r>
      <w:proofErr w:type="spellStart"/>
      <w:r w:rsidRPr="00536562">
        <w:t>poena</w:t>
      </w:r>
      <w:proofErr w:type="spellEnd"/>
      <w:r w:rsidRPr="00536562">
        <w:t xml:space="preserve"> sine lege). </w:t>
      </w:r>
      <w:r>
        <w:t xml:space="preserve">Dieser Grundsatz </w:t>
      </w:r>
      <w:r w:rsidRPr="00536562">
        <w:t xml:space="preserve">erfordert </w:t>
      </w:r>
      <w:r>
        <w:t xml:space="preserve">gemäss einhelliger Lehre </w:t>
      </w:r>
      <w:r w:rsidRPr="00536562">
        <w:t>ein Gesetz im formellen Sinn</w:t>
      </w:r>
      <w:r>
        <w:t xml:space="preserve"> und ist auch </w:t>
      </w:r>
      <w:r w:rsidRPr="00536562">
        <w:t xml:space="preserve">in </w:t>
      </w:r>
      <w:r w:rsidR="00DB13A8">
        <w:t>Art. 7</w:t>
      </w:r>
      <w:r w:rsidRPr="00536562">
        <w:t xml:space="preserve"> EMRK verankert.</w:t>
      </w:r>
      <w:r>
        <w:t xml:space="preserve"> Eine blosse Verordnung des Bundesrates reicht </w:t>
      </w:r>
      <w:r w:rsidR="00F06221">
        <w:t>hier keinesfalls</w:t>
      </w:r>
      <w:r>
        <w:t xml:space="preserve"> aus</w:t>
      </w:r>
      <w:r w:rsidRPr="00536562">
        <w:t>.</w:t>
      </w:r>
      <w:r>
        <w:br/>
      </w:r>
      <w:r>
        <w:br/>
      </w:r>
      <w:r w:rsidRPr="00536562">
        <w:t xml:space="preserve">Die Eidgenössischen Räte sind daher nicht befugt, dem Bundesrat die Ermächtigung zur </w:t>
      </w:r>
      <w:r w:rsidR="00F06221">
        <w:t>Begründung</w:t>
      </w:r>
      <w:r w:rsidRPr="00536562">
        <w:t xml:space="preserve"> neuer Straftatbestände zu übertragen. Wenn der B</w:t>
      </w:r>
      <w:r>
        <w:t xml:space="preserve">undesrat </w:t>
      </w:r>
      <w:r w:rsidR="00DB13A8">
        <w:t xml:space="preserve">aber </w:t>
      </w:r>
      <w:r w:rsidRPr="00536562">
        <w:t>strafbedroh</w:t>
      </w:r>
      <w:r>
        <w:t>te Massnahmen er</w:t>
      </w:r>
      <w:r w:rsidR="00DB13A8">
        <w:t>la</w:t>
      </w:r>
      <w:r>
        <w:t>ss</w:t>
      </w:r>
      <w:r w:rsidR="00DB13A8">
        <w:t>en darf</w:t>
      </w:r>
      <w:r>
        <w:t xml:space="preserve">, </w:t>
      </w:r>
      <w:r w:rsidR="00DB13A8">
        <w:t xml:space="preserve">kann </w:t>
      </w:r>
      <w:r w:rsidRPr="00536562">
        <w:t>er völli</w:t>
      </w:r>
      <w:r>
        <w:t xml:space="preserve">g neue </w:t>
      </w:r>
      <w:r w:rsidR="00F06221">
        <w:t>Straftatbestände</w:t>
      </w:r>
      <w:r w:rsidRPr="00536562">
        <w:t xml:space="preserve"> </w:t>
      </w:r>
      <w:r w:rsidR="00DB13A8">
        <w:t xml:space="preserve">schaffen </w:t>
      </w:r>
      <w:r w:rsidRPr="00536562">
        <w:t>(</w:t>
      </w:r>
      <w:r w:rsidR="00DB13A8">
        <w:t xml:space="preserve">bisher schon zum Beispiel </w:t>
      </w:r>
      <w:r w:rsidRPr="00536562">
        <w:t>„M</w:t>
      </w:r>
      <w:r w:rsidR="00DB13A8">
        <w:t>ensch</w:t>
      </w:r>
      <w:r w:rsidRPr="00536562">
        <w:t>enansammlung“, „Teilnahme an Veranstaltungen“ und ähnliches)</w:t>
      </w:r>
      <w:r>
        <w:t xml:space="preserve">, welche sich </w:t>
      </w:r>
      <w:r w:rsidRPr="00536562">
        <w:t xml:space="preserve">durch </w:t>
      </w:r>
      <w:r>
        <w:t>ganz neue</w:t>
      </w:r>
      <w:r w:rsidR="00DB13A8">
        <w:t>, zudem unbestimmte</w:t>
      </w:r>
      <w:r>
        <w:t xml:space="preserve"> </w:t>
      </w:r>
      <w:r w:rsidRPr="00536562">
        <w:t>Tatbestands</w:t>
      </w:r>
      <w:r w:rsidR="00117324">
        <w:softHyphen/>
      </w:r>
      <w:r w:rsidRPr="00536562">
        <w:t>merkmale</w:t>
      </w:r>
      <w:r>
        <w:t xml:space="preserve"> definieren</w:t>
      </w:r>
      <w:r w:rsidRPr="00536562">
        <w:t xml:space="preserve">. Diese </w:t>
      </w:r>
      <w:r w:rsidR="00DB13A8">
        <w:t>Vorschrift</w:t>
      </w:r>
      <w:r w:rsidRPr="00536562">
        <w:t xml:space="preserve"> verstösst folglich </w:t>
      </w:r>
      <w:r w:rsidR="00DB13A8">
        <w:t xml:space="preserve">eindeutig </w:t>
      </w:r>
      <w:r w:rsidRPr="00536562">
        <w:t xml:space="preserve">gegen Art. 1 StGB und gegen </w:t>
      </w:r>
      <w:r w:rsidR="00DB13A8">
        <w:t>Art. 7</w:t>
      </w:r>
      <w:r w:rsidRPr="00536562">
        <w:t xml:space="preserve"> EMRK. Art. 11 des Entwurfes </w:t>
      </w:r>
      <w:r w:rsidR="00DB13A8">
        <w:t xml:space="preserve">ist </w:t>
      </w:r>
      <w:r w:rsidRPr="00536562">
        <w:t>damit verfassungs- und völkerrechtswidrig</w:t>
      </w:r>
      <w:r>
        <w:t xml:space="preserve"> und deshalb ersatzlos zu streichen</w:t>
      </w:r>
      <w:r w:rsidRPr="00536562">
        <w:t>.</w:t>
      </w:r>
    </w:p>
    <w:p w14:paraId="59458C8E" w14:textId="77777777" w:rsidR="005C7B26" w:rsidRDefault="005C7B26" w:rsidP="005C7B26">
      <w:pPr>
        <w:pStyle w:val="Listenabsatz"/>
        <w:spacing w:after="120" w:line="240" w:lineRule="auto"/>
        <w:ind w:left="567" w:hanging="567"/>
        <w:contextualSpacing w:val="0"/>
      </w:pPr>
    </w:p>
    <w:p w14:paraId="5C2E0BE2" w14:textId="62D98FE4" w:rsidR="005C7B26" w:rsidRPr="00511B06" w:rsidRDefault="005C7B26" w:rsidP="005C7B26">
      <w:pPr>
        <w:pStyle w:val="Default"/>
        <w:pBdr>
          <w:top w:val="single" w:sz="4" w:space="1" w:color="auto"/>
          <w:left w:val="single" w:sz="4" w:space="4" w:color="auto"/>
          <w:bottom w:val="single" w:sz="4" w:space="1" w:color="auto"/>
          <w:right w:val="single" w:sz="4" w:space="4" w:color="auto"/>
        </w:pBdr>
        <w:rPr>
          <w:rFonts w:asciiTheme="minorHAnsi" w:hAnsiTheme="minorHAnsi" w:cstheme="minorBidi"/>
          <w:b/>
          <w:bCs/>
          <w:color w:val="auto"/>
          <w:sz w:val="22"/>
          <w:szCs w:val="22"/>
        </w:rPr>
      </w:pPr>
      <w:r w:rsidRPr="00511B06">
        <w:rPr>
          <w:rFonts w:asciiTheme="minorHAnsi" w:hAnsiTheme="minorHAnsi" w:cstheme="minorBidi"/>
          <w:b/>
          <w:bCs/>
          <w:color w:val="auto"/>
          <w:sz w:val="22"/>
          <w:szCs w:val="22"/>
        </w:rPr>
        <w:lastRenderedPageBreak/>
        <w:t>Zusammenfassung der Feststellungen zum Entwurf des Covid-19 Gesetz</w:t>
      </w:r>
      <w:r w:rsidR="00FB6746" w:rsidRPr="00511B06">
        <w:rPr>
          <w:rFonts w:asciiTheme="minorHAnsi" w:hAnsiTheme="minorHAnsi" w:cstheme="minorBidi"/>
          <w:b/>
          <w:bCs/>
          <w:color w:val="auto"/>
          <w:sz w:val="22"/>
          <w:szCs w:val="22"/>
        </w:rPr>
        <w:t>, im Falle einer inhaltlichen Beratung</w:t>
      </w:r>
      <w:r w:rsidRPr="00511B06">
        <w:rPr>
          <w:rFonts w:asciiTheme="minorHAnsi" w:hAnsiTheme="minorHAnsi" w:cstheme="minorBidi"/>
          <w:b/>
          <w:bCs/>
          <w:color w:val="auto"/>
          <w:sz w:val="22"/>
          <w:szCs w:val="22"/>
        </w:rPr>
        <w:t>:</w:t>
      </w:r>
    </w:p>
    <w:p w14:paraId="4081EB7E" w14:textId="77777777" w:rsidR="00FB6746" w:rsidRPr="00511B06" w:rsidRDefault="00FB6746" w:rsidP="005C7B26">
      <w:pPr>
        <w:pStyle w:val="Default"/>
        <w:pBdr>
          <w:top w:val="single" w:sz="4" w:space="1" w:color="auto"/>
          <w:left w:val="single" w:sz="4" w:space="4" w:color="auto"/>
          <w:bottom w:val="single" w:sz="4" w:space="1" w:color="auto"/>
          <w:right w:val="single" w:sz="4" w:space="4" w:color="auto"/>
        </w:pBdr>
        <w:rPr>
          <w:rFonts w:asciiTheme="minorHAnsi" w:hAnsiTheme="minorHAnsi" w:cstheme="minorBidi"/>
          <w:b/>
          <w:bCs/>
          <w:color w:val="auto"/>
          <w:sz w:val="22"/>
          <w:szCs w:val="22"/>
        </w:rPr>
      </w:pPr>
    </w:p>
    <w:p w14:paraId="6D8AD74F" w14:textId="7CC00D03" w:rsidR="005C7B26" w:rsidRPr="006C4CCB" w:rsidRDefault="005C7B26" w:rsidP="005C7B26">
      <w:pPr>
        <w:pStyle w:val="Default"/>
        <w:pBdr>
          <w:top w:val="single" w:sz="4" w:space="1" w:color="auto"/>
          <w:left w:val="single" w:sz="4" w:space="4" w:color="auto"/>
          <w:bottom w:val="single" w:sz="4" w:space="1" w:color="auto"/>
          <w:right w:val="single" w:sz="4" w:space="4" w:color="auto"/>
        </w:pBdr>
        <w:rPr>
          <w:rFonts w:asciiTheme="minorHAnsi" w:hAnsiTheme="minorHAnsi" w:cstheme="minorBidi"/>
          <w:b/>
          <w:bCs/>
          <w:color w:val="auto"/>
          <w:sz w:val="22"/>
          <w:szCs w:val="22"/>
        </w:rPr>
      </w:pPr>
      <w:r w:rsidRPr="00511B06">
        <w:rPr>
          <w:rFonts w:asciiTheme="minorHAnsi" w:hAnsiTheme="minorHAnsi" w:cstheme="minorBidi"/>
          <w:b/>
          <w:bCs/>
          <w:color w:val="auto"/>
          <w:sz w:val="22"/>
          <w:szCs w:val="22"/>
        </w:rPr>
        <w:t>Das Gesetz beinhaltet Teile, die verfassungswidrig sind und für unser Gesundheitssystem</w:t>
      </w:r>
      <w:r w:rsidR="00D34338">
        <w:rPr>
          <w:rFonts w:asciiTheme="minorHAnsi" w:hAnsiTheme="minorHAnsi" w:cstheme="minorBidi"/>
          <w:b/>
          <w:bCs/>
          <w:color w:val="auto"/>
          <w:sz w:val="22"/>
          <w:szCs w:val="22"/>
        </w:rPr>
        <w:t>,</w:t>
      </w:r>
      <w:r w:rsidRPr="00511B06">
        <w:rPr>
          <w:rFonts w:asciiTheme="minorHAnsi" w:hAnsiTheme="minorHAnsi" w:cstheme="minorBidi"/>
          <w:b/>
          <w:bCs/>
          <w:color w:val="auto"/>
          <w:sz w:val="22"/>
          <w:szCs w:val="22"/>
        </w:rPr>
        <w:t xml:space="preserve"> für unsere Wirtschaft </w:t>
      </w:r>
      <w:r w:rsidR="00D34338">
        <w:rPr>
          <w:rFonts w:asciiTheme="minorHAnsi" w:hAnsiTheme="minorHAnsi" w:cstheme="minorBidi"/>
          <w:b/>
          <w:bCs/>
          <w:color w:val="auto"/>
          <w:sz w:val="22"/>
          <w:szCs w:val="22"/>
        </w:rPr>
        <w:t xml:space="preserve">und allenfalls auch für die betroffenen Menschen </w:t>
      </w:r>
      <w:r w:rsidRPr="00511B06">
        <w:rPr>
          <w:rFonts w:asciiTheme="minorHAnsi" w:hAnsiTheme="minorHAnsi" w:cstheme="minorBidi"/>
          <w:b/>
          <w:bCs/>
          <w:color w:val="auto"/>
          <w:sz w:val="22"/>
          <w:szCs w:val="22"/>
        </w:rPr>
        <w:t xml:space="preserve">unverhältnismässig negative Auswirkungen haben. Darum </w:t>
      </w:r>
      <w:r w:rsidR="00D05C96">
        <w:rPr>
          <w:rFonts w:asciiTheme="minorHAnsi" w:hAnsiTheme="minorHAnsi" w:cstheme="minorBidi"/>
          <w:b/>
          <w:bCs/>
          <w:color w:val="auto"/>
          <w:sz w:val="22"/>
          <w:szCs w:val="22"/>
        </w:rPr>
        <w:t>bitten wir darum,</w:t>
      </w:r>
      <w:bookmarkStart w:id="0" w:name="_GoBack"/>
      <w:bookmarkEnd w:id="0"/>
      <w:r w:rsidRPr="00511B06">
        <w:rPr>
          <w:rFonts w:asciiTheme="minorHAnsi" w:hAnsiTheme="minorHAnsi" w:cstheme="minorBidi"/>
          <w:b/>
          <w:bCs/>
          <w:color w:val="auto"/>
          <w:sz w:val="22"/>
          <w:szCs w:val="22"/>
        </w:rPr>
        <w:t xml:space="preserve"> </w:t>
      </w:r>
      <w:r w:rsidR="00D34338">
        <w:rPr>
          <w:rFonts w:asciiTheme="minorHAnsi" w:hAnsiTheme="minorHAnsi" w:cstheme="minorBidi"/>
          <w:b/>
          <w:bCs/>
          <w:color w:val="auto"/>
          <w:sz w:val="22"/>
          <w:szCs w:val="22"/>
        </w:rPr>
        <w:t>die</w:t>
      </w:r>
      <w:r w:rsidRPr="00511B06">
        <w:rPr>
          <w:rFonts w:asciiTheme="minorHAnsi" w:hAnsiTheme="minorHAnsi" w:cstheme="minorBidi"/>
          <w:b/>
          <w:bCs/>
          <w:color w:val="auto"/>
          <w:sz w:val="22"/>
          <w:szCs w:val="22"/>
        </w:rPr>
        <w:t xml:space="preserve"> Art. 2 Abs. 3 </w:t>
      </w:r>
      <w:proofErr w:type="spellStart"/>
      <w:r w:rsidRPr="00511B06">
        <w:rPr>
          <w:rFonts w:asciiTheme="minorHAnsi" w:hAnsiTheme="minorHAnsi" w:cstheme="minorBidi"/>
          <w:b/>
          <w:bCs/>
          <w:color w:val="auto"/>
          <w:sz w:val="22"/>
          <w:szCs w:val="22"/>
        </w:rPr>
        <w:t>lit</w:t>
      </w:r>
      <w:proofErr w:type="spellEnd"/>
      <w:r w:rsidRPr="00511B06">
        <w:rPr>
          <w:rFonts w:asciiTheme="minorHAnsi" w:hAnsiTheme="minorHAnsi" w:cstheme="minorBidi"/>
          <w:b/>
          <w:bCs/>
          <w:color w:val="auto"/>
          <w:sz w:val="22"/>
          <w:szCs w:val="22"/>
        </w:rPr>
        <w:t>. g bis j und Art. 2 Abs. 6 sowie Art. 8 und 11 des Entwurfs</w:t>
      </w:r>
      <w:r w:rsidR="00D34338">
        <w:rPr>
          <w:rFonts w:asciiTheme="minorHAnsi" w:hAnsiTheme="minorHAnsi" w:cstheme="minorBidi"/>
          <w:b/>
          <w:bCs/>
          <w:color w:val="auto"/>
          <w:sz w:val="22"/>
          <w:szCs w:val="22"/>
        </w:rPr>
        <w:t xml:space="preserve"> ersatzlos zu streichen</w:t>
      </w:r>
      <w:r w:rsidRPr="00511B06">
        <w:rPr>
          <w:rFonts w:asciiTheme="minorHAnsi" w:hAnsiTheme="minorHAnsi" w:cstheme="minorBidi"/>
          <w:b/>
          <w:bCs/>
          <w:color w:val="auto"/>
          <w:sz w:val="22"/>
          <w:szCs w:val="22"/>
        </w:rPr>
        <w:t>.</w:t>
      </w:r>
    </w:p>
    <w:p w14:paraId="0272D55C" w14:textId="77777777" w:rsidR="005C7B26" w:rsidRPr="002500C5" w:rsidRDefault="005C7B26" w:rsidP="005C7B26">
      <w:pPr>
        <w:pBdr>
          <w:top w:val="single" w:sz="4" w:space="1" w:color="auto"/>
          <w:left w:val="single" w:sz="4" w:space="4" w:color="auto"/>
          <w:bottom w:val="single" w:sz="4" w:space="1" w:color="auto"/>
          <w:right w:val="single" w:sz="4" w:space="4" w:color="auto"/>
        </w:pBdr>
        <w:shd w:val="clear" w:color="auto" w:fill="FFF2CC" w:themeFill="accent4" w:themeFillTint="33"/>
      </w:pPr>
    </w:p>
    <w:p w14:paraId="4A845858" w14:textId="22D2572B" w:rsidR="005C7B26" w:rsidRDefault="005C7B26" w:rsidP="005C7B26">
      <w:pPr>
        <w:pStyle w:val="Listenabsatz"/>
        <w:spacing w:after="120"/>
        <w:ind w:left="567"/>
        <w:jc w:val="both"/>
      </w:pPr>
    </w:p>
    <w:p w14:paraId="17B9CCE4" w14:textId="27B218D6" w:rsidR="00BB5517" w:rsidRDefault="00BB5517" w:rsidP="00A9603D">
      <w:pPr>
        <w:pStyle w:val="Listenabsatz"/>
        <w:spacing w:after="120"/>
        <w:ind w:left="567"/>
        <w:jc w:val="both"/>
      </w:pPr>
      <w:r>
        <w:t>Eingereicht von</w:t>
      </w:r>
      <w:r w:rsidR="00A9603D">
        <w:t>:</w:t>
      </w:r>
    </w:p>
    <w:p w14:paraId="4DF603BF" w14:textId="5D1A417C" w:rsidR="00BB5517" w:rsidRDefault="00BB5517" w:rsidP="00BB5517">
      <w:pPr>
        <w:pStyle w:val="Listenabsatz"/>
        <w:spacing w:after="120"/>
        <w:ind w:left="567"/>
        <w:jc w:val="both"/>
      </w:pPr>
      <w:r>
        <w:tab/>
      </w:r>
      <w:r>
        <w:tab/>
      </w:r>
      <w:r>
        <w:tab/>
        <w:t>___________________________________________________________</w:t>
      </w:r>
    </w:p>
    <w:p w14:paraId="28704BF9" w14:textId="6EC583A3" w:rsidR="00BB5517" w:rsidRDefault="00BB5517" w:rsidP="005C7B26">
      <w:pPr>
        <w:pStyle w:val="Listenabsatz"/>
        <w:spacing w:after="120"/>
        <w:ind w:left="567"/>
        <w:jc w:val="both"/>
      </w:pPr>
      <w:r>
        <w:tab/>
      </w:r>
      <w:r>
        <w:tab/>
      </w:r>
      <w:r>
        <w:tab/>
      </w:r>
    </w:p>
    <w:p w14:paraId="3D28D003" w14:textId="4E671FBA" w:rsidR="005C7B26" w:rsidRDefault="005C7B26" w:rsidP="005C7B26">
      <w:pPr>
        <w:pStyle w:val="Listenabsatz"/>
        <w:spacing w:after="120"/>
        <w:ind w:left="567"/>
        <w:jc w:val="both"/>
      </w:pPr>
    </w:p>
    <w:p w14:paraId="46A2E293" w14:textId="467C4C7D" w:rsidR="005C7B26" w:rsidRDefault="005C7B26" w:rsidP="005C7B26">
      <w:pPr>
        <w:pStyle w:val="Listenabsatz"/>
        <w:spacing w:after="120"/>
        <w:ind w:left="567"/>
        <w:jc w:val="both"/>
      </w:pPr>
      <w:r>
        <w:t>Ort:</w:t>
      </w:r>
      <w:r>
        <w:tab/>
      </w:r>
      <w:r>
        <w:tab/>
        <w:t>____________________________</w:t>
      </w:r>
    </w:p>
    <w:p w14:paraId="632C7B79" w14:textId="37ACEEF5" w:rsidR="005C7B26" w:rsidRDefault="005C7B26" w:rsidP="005C7B26">
      <w:pPr>
        <w:pStyle w:val="Listenabsatz"/>
        <w:spacing w:after="120"/>
        <w:ind w:left="567"/>
        <w:jc w:val="both"/>
      </w:pPr>
    </w:p>
    <w:p w14:paraId="1150EBEB" w14:textId="14B989A5" w:rsidR="005C7B26" w:rsidRDefault="005C7B26" w:rsidP="005C7B26">
      <w:pPr>
        <w:pStyle w:val="Listenabsatz"/>
        <w:spacing w:after="120"/>
        <w:ind w:left="567"/>
        <w:jc w:val="both"/>
      </w:pPr>
      <w:r>
        <w:t>Datum:</w:t>
      </w:r>
      <w:r>
        <w:tab/>
      </w:r>
      <w:r>
        <w:tab/>
        <w:t>____________________________</w:t>
      </w:r>
    </w:p>
    <w:p w14:paraId="2578158C" w14:textId="680B8A81" w:rsidR="005C7B26" w:rsidRDefault="005C7B26" w:rsidP="005C7B26">
      <w:pPr>
        <w:pStyle w:val="Listenabsatz"/>
        <w:spacing w:after="120"/>
        <w:ind w:left="567"/>
        <w:jc w:val="both"/>
      </w:pPr>
    </w:p>
    <w:p w14:paraId="05C36428" w14:textId="6E7772F9" w:rsidR="00BB5517" w:rsidRDefault="00BB5517" w:rsidP="00BB5517">
      <w:pPr>
        <w:pStyle w:val="Listenabsatz"/>
        <w:spacing w:after="120"/>
        <w:ind w:left="567"/>
        <w:jc w:val="both"/>
      </w:pPr>
    </w:p>
    <w:p w14:paraId="4E7EB88D" w14:textId="6F7818F8" w:rsidR="00BB5517" w:rsidRDefault="005C7B26" w:rsidP="00BB5517">
      <w:pPr>
        <w:pStyle w:val="Listenabsatz"/>
        <w:spacing w:after="120"/>
        <w:ind w:left="567"/>
        <w:jc w:val="both"/>
      </w:pPr>
      <w:r>
        <w:t>Unterschrift:</w:t>
      </w:r>
      <w:r>
        <w:tab/>
      </w:r>
      <w:r w:rsidR="00BB5517">
        <w:t>____________________________</w:t>
      </w:r>
      <w:r w:rsidR="00BB5517">
        <w:tab/>
        <w:t>____________________________</w:t>
      </w:r>
    </w:p>
    <w:p w14:paraId="772CF9FD" w14:textId="71A31553" w:rsidR="00BB5517" w:rsidRDefault="00BB5517" w:rsidP="00BB5517">
      <w:pPr>
        <w:pStyle w:val="Listenabsatz"/>
        <w:spacing w:after="120"/>
        <w:ind w:left="567"/>
        <w:jc w:val="both"/>
      </w:pPr>
      <w:r>
        <w:tab/>
      </w:r>
      <w:r>
        <w:tab/>
      </w:r>
      <w:r>
        <w:tab/>
      </w:r>
      <w:r w:rsidR="00A9603D">
        <w:t>[</w:t>
      </w:r>
      <w:r w:rsidR="00A9603D">
        <w:rPr>
          <w:sz w:val="18"/>
          <w:szCs w:val="18"/>
        </w:rPr>
        <w:t>____________________________</w:t>
      </w:r>
      <w:r w:rsidR="00A9603D">
        <w:t>]</w:t>
      </w:r>
      <w:r>
        <w:tab/>
      </w:r>
      <w:r w:rsidR="00A9603D">
        <w:tab/>
      </w:r>
      <w:r w:rsidR="00A9603D">
        <w:t>[</w:t>
      </w:r>
      <w:r w:rsidR="00A9603D">
        <w:rPr>
          <w:sz w:val="18"/>
          <w:szCs w:val="18"/>
        </w:rPr>
        <w:t>____________________________</w:t>
      </w:r>
      <w:r w:rsidR="00A9603D">
        <w:t>]</w:t>
      </w:r>
    </w:p>
    <w:p w14:paraId="6904476A" w14:textId="29AFE531" w:rsidR="00BB5517" w:rsidRDefault="00BB5517" w:rsidP="00BB5517">
      <w:pPr>
        <w:pStyle w:val="Listenabsatz"/>
        <w:spacing w:after="120"/>
        <w:ind w:left="567"/>
        <w:jc w:val="both"/>
      </w:pPr>
    </w:p>
    <w:p w14:paraId="6D051EAA" w14:textId="77777777" w:rsidR="00A9603D" w:rsidRDefault="00A9603D" w:rsidP="00BB5517">
      <w:pPr>
        <w:pStyle w:val="Listenabsatz"/>
        <w:spacing w:after="120"/>
        <w:ind w:left="1983" w:firstLine="141"/>
        <w:jc w:val="both"/>
      </w:pPr>
    </w:p>
    <w:p w14:paraId="2902B76C" w14:textId="77777777" w:rsidR="00A9603D" w:rsidRDefault="00A9603D" w:rsidP="00A9603D">
      <w:pPr>
        <w:pStyle w:val="Listenabsatz"/>
        <w:spacing w:after="120"/>
        <w:ind w:left="1983" w:firstLine="141"/>
        <w:jc w:val="both"/>
      </w:pPr>
      <w:r>
        <w:t>____________________________</w:t>
      </w:r>
      <w:r>
        <w:tab/>
        <w:t>____________________________</w:t>
      </w:r>
    </w:p>
    <w:p w14:paraId="684375AF" w14:textId="77777777" w:rsidR="00A9603D" w:rsidRDefault="00A9603D" w:rsidP="00A9603D">
      <w:pPr>
        <w:pStyle w:val="Listenabsatz"/>
        <w:spacing w:after="120"/>
        <w:ind w:left="567"/>
        <w:jc w:val="both"/>
      </w:pPr>
      <w:r>
        <w:tab/>
      </w:r>
      <w:r>
        <w:tab/>
      </w:r>
      <w:r>
        <w:tab/>
        <w:t>[</w:t>
      </w:r>
      <w:r>
        <w:rPr>
          <w:sz w:val="18"/>
          <w:szCs w:val="18"/>
        </w:rPr>
        <w:t>____________________________</w:t>
      </w:r>
      <w:r>
        <w:t>]</w:t>
      </w:r>
      <w:r>
        <w:tab/>
      </w:r>
      <w:r>
        <w:tab/>
        <w:t>[</w:t>
      </w:r>
      <w:r>
        <w:rPr>
          <w:sz w:val="18"/>
          <w:szCs w:val="18"/>
        </w:rPr>
        <w:t>____________________________</w:t>
      </w:r>
      <w:r>
        <w:t>]</w:t>
      </w:r>
    </w:p>
    <w:p w14:paraId="7F06B767" w14:textId="77777777" w:rsidR="00A9603D" w:rsidRDefault="00A9603D" w:rsidP="00A9603D">
      <w:pPr>
        <w:pStyle w:val="Listenabsatz"/>
        <w:spacing w:after="120"/>
        <w:ind w:left="567"/>
        <w:jc w:val="both"/>
      </w:pPr>
    </w:p>
    <w:p w14:paraId="64FAF397" w14:textId="77777777" w:rsidR="00A9603D" w:rsidRDefault="00A9603D" w:rsidP="00A9603D">
      <w:pPr>
        <w:pStyle w:val="Listenabsatz"/>
        <w:spacing w:after="120"/>
        <w:ind w:left="1983" w:firstLine="141"/>
        <w:jc w:val="both"/>
      </w:pPr>
    </w:p>
    <w:p w14:paraId="2B5590A6" w14:textId="2A0D8D85" w:rsidR="00A9603D" w:rsidRDefault="00A9603D" w:rsidP="00A9603D">
      <w:pPr>
        <w:pStyle w:val="Listenabsatz"/>
        <w:spacing w:after="120"/>
        <w:ind w:left="1983" w:firstLine="141"/>
        <w:jc w:val="both"/>
      </w:pPr>
      <w:r>
        <w:t>____________________________</w:t>
      </w:r>
      <w:r>
        <w:tab/>
        <w:t>____________________________</w:t>
      </w:r>
    </w:p>
    <w:p w14:paraId="0C9B061A" w14:textId="77777777" w:rsidR="00A9603D" w:rsidRDefault="00A9603D" w:rsidP="00A9603D">
      <w:pPr>
        <w:pStyle w:val="Listenabsatz"/>
        <w:spacing w:after="120"/>
        <w:ind w:left="567"/>
        <w:jc w:val="both"/>
      </w:pPr>
      <w:r>
        <w:tab/>
      </w:r>
      <w:r>
        <w:tab/>
      </w:r>
      <w:r>
        <w:tab/>
        <w:t>[</w:t>
      </w:r>
      <w:r>
        <w:rPr>
          <w:sz w:val="18"/>
          <w:szCs w:val="18"/>
        </w:rPr>
        <w:t>____________________________</w:t>
      </w:r>
      <w:r>
        <w:t>]</w:t>
      </w:r>
      <w:r>
        <w:tab/>
      </w:r>
      <w:r>
        <w:tab/>
        <w:t>[</w:t>
      </w:r>
      <w:r>
        <w:rPr>
          <w:sz w:val="18"/>
          <w:szCs w:val="18"/>
        </w:rPr>
        <w:t>____________________________</w:t>
      </w:r>
      <w:r>
        <w:t>]</w:t>
      </w:r>
    </w:p>
    <w:p w14:paraId="3245C619" w14:textId="77777777" w:rsidR="00A9603D" w:rsidRDefault="00A9603D" w:rsidP="00A9603D">
      <w:pPr>
        <w:pStyle w:val="Listenabsatz"/>
        <w:spacing w:after="120"/>
        <w:ind w:left="567"/>
        <w:jc w:val="both"/>
      </w:pPr>
    </w:p>
    <w:p w14:paraId="40D47A24" w14:textId="77777777" w:rsidR="00BB5517" w:rsidRPr="00536562" w:rsidRDefault="00BB5517" w:rsidP="005C7B26">
      <w:pPr>
        <w:pStyle w:val="Listenabsatz"/>
        <w:spacing w:after="120"/>
        <w:ind w:left="567"/>
        <w:jc w:val="both"/>
      </w:pPr>
    </w:p>
    <w:sectPr w:rsidR="00BB5517" w:rsidRPr="00536562">
      <w:foot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9BED0" w16cex:dateUtc="2020-06-21T0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AAAA0" w14:textId="77777777" w:rsidR="0029778E" w:rsidRDefault="0029778E" w:rsidP="00EE0290">
      <w:pPr>
        <w:spacing w:after="0" w:line="240" w:lineRule="auto"/>
      </w:pPr>
      <w:r>
        <w:separator/>
      </w:r>
    </w:p>
  </w:endnote>
  <w:endnote w:type="continuationSeparator" w:id="0">
    <w:p w14:paraId="52823D0E" w14:textId="77777777" w:rsidR="0029778E" w:rsidRDefault="0029778E" w:rsidP="00EE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771097"/>
      <w:docPartObj>
        <w:docPartGallery w:val="Page Numbers (Bottom of Page)"/>
        <w:docPartUnique/>
      </w:docPartObj>
    </w:sdtPr>
    <w:sdtEndPr/>
    <w:sdtContent>
      <w:p w14:paraId="77877534" w14:textId="4C8D949A" w:rsidR="00511B06" w:rsidRDefault="00511B06">
        <w:pPr>
          <w:pStyle w:val="Fuzeile"/>
          <w:jc w:val="right"/>
        </w:pPr>
        <w:r>
          <w:fldChar w:fldCharType="begin"/>
        </w:r>
        <w:r>
          <w:instrText>PAGE   \* MERGEFORMAT</w:instrText>
        </w:r>
        <w:r>
          <w:fldChar w:fldCharType="separate"/>
        </w:r>
        <w:r w:rsidR="00D05C96" w:rsidRPr="00D05C96">
          <w:rPr>
            <w:noProof/>
            <w:lang w:val="de-DE"/>
          </w:rPr>
          <w:t>8</w:t>
        </w:r>
        <w:r>
          <w:fldChar w:fldCharType="end"/>
        </w:r>
      </w:p>
    </w:sdtContent>
  </w:sdt>
  <w:p w14:paraId="6B21ABFD" w14:textId="7C809EC9" w:rsidR="00BC0A53" w:rsidRDefault="00BC0A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289B" w14:textId="77777777" w:rsidR="0029778E" w:rsidRDefault="0029778E" w:rsidP="00EE0290">
      <w:pPr>
        <w:spacing w:after="0" w:line="240" w:lineRule="auto"/>
      </w:pPr>
      <w:r>
        <w:separator/>
      </w:r>
    </w:p>
  </w:footnote>
  <w:footnote w:type="continuationSeparator" w:id="0">
    <w:p w14:paraId="32310F68" w14:textId="77777777" w:rsidR="0029778E" w:rsidRDefault="0029778E" w:rsidP="00EE0290">
      <w:pPr>
        <w:spacing w:after="0" w:line="240" w:lineRule="auto"/>
      </w:pPr>
      <w:r>
        <w:continuationSeparator/>
      </w:r>
    </w:p>
  </w:footnote>
  <w:footnote w:id="1">
    <w:p w14:paraId="1DBAC8BA" w14:textId="3091088D" w:rsidR="00D27E15" w:rsidRPr="00493A20" w:rsidRDefault="00D27E15" w:rsidP="00D27E15">
      <w:pPr>
        <w:rPr>
          <w:szCs w:val="12"/>
        </w:rPr>
      </w:pPr>
      <w:r w:rsidRPr="00493A20">
        <w:rPr>
          <w:rStyle w:val="Funotenzeichen"/>
          <w:szCs w:val="12"/>
        </w:rPr>
        <w:footnoteRef/>
      </w:r>
      <w:r w:rsidRPr="00493A20">
        <w:rPr>
          <w:szCs w:val="12"/>
        </w:rPr>
        <w:t xml:space="preserve">  Im Sinne der </w:t>
      </w:r>
      <w:hyperlink r:id="rId1" w:anchor="fn2" w:history="1">
        <w:r w:rsidRPr="00511B06">
          <w:rPr>
            <w:szCs w:val="12"/>
          </w:rPr>
          <w:t xml:space="preserve">Botschaft des Bundesrates zum </w:t>
        </w:r>
        <w:proofErr w:type="spellStart"/>
        <w:r w:rsidRPr="00511B06">
          <w:rPr>
            <w:szCs w:val="12"/>
          </w:rPr>
          <w:t>EpG</w:t>
        </w:r>
        <w:proofErr w:type="spellEnd"/>
        <w:r w:rsidRPr="00511B06">
          <w:rPr>
            <w:szCs w:val="12"/>
          </w:rPr>
          <w:t xml:space="preserve"> vom 3. Dezember 2010</w:t>
        </w:r>
      </w:hyperlink>
      <w:r w:rsidR="00E43120" w:rsidRPr="00511B06">
        <w:rPr>
          <w:szCs w:val="12"/>
        </w:rPr>
        <w:t>, S. 363</w:t>
      </w:r>
      <w:r w:rsidRPr="00511B06">
        <w:rPr>
          <w:szCs w:val="1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63A"/>
    <w:multiLevelType w:val="hybridMultilevel"/>
    <w:tmpl w:val="A60CA9FE"/>
    <w:lvl w:ilvl="0" w:tplc="08070001">
      <w:start w:val="1"/>
      <w:numFmt w:val="bullet"/>
      <w:lvlText w:val=""/>
      <w:lvlJc w:val="left"/>
      <w:pPr>
        <w:ind w:left="1069" w:hanging="360"/>
      </w:pPr>
      <w:rPr>
        <w:rFonts w:ascii="Symbol" w:hAnsi="Symbo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 w15:restartNumberingAfterBreak="0">
    <w:nsid w:val="05D31301"/>
    <w:multiLevelType w:val="hybridMultilevel"/>
    <w:tmpl w:val="D242CC2A"/>
    <w:lvl w:ilvl="0" w:tplc="E08AD2B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D849A0"/>
    <w:multiLevelType w:val="hybridMultilevel"/>
    <w:tmpl w:val="B540D0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D392FEB"/>
    <w:multiLevelType w:val="hybridMultilevel"/>
    <w:tmpl w:val="E2B001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31EA1BE4"/>
    <w:multiLevelType w:val="hybridMultilevel"/>
    <w:tmpl w:val="F16EBE3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36D25D64"/>
    <w:multiLevelType w:val="hybridMultilevel"/>
    <w:tmpl w:val="D242CC2A"/>
    <w:lvl w:ilvl="0" w:tplc="E08AD2B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A977EE1"/>
    <w:multiLevelType w:val="hybridMultilevel"/>
    <w:tmpl w:val="C8669782"/>
    <w:lvl w:ilvl="0" w:tplc="4E9E6382">
      <w:start w:val="1"/>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AE5830"/>
    <w:multiLevelType w:val="hybridMultilevel"/>
    <w:tmpl w:val="9A4259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BF76575"/>
    <w:multiLevelType w:val="hybridMultilevel"/>
    <w:tmpl w:val="F0C2C97A"/>
    <w:lvl w:ilvl="0" w:tplc="E5023908">
      <w:start w:val="1"/>
      <w:numFmt w:val="upperRoman"/>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7AB00539"/>
    <w:multiLevelType w:val="hybridMultilevel"/>
    <w:tmpl w:val="D242CC2A"/>
    <w:lvl w:ilvl="0" w:tplc="E08AD2B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9"/>
  </w:num>
  <w:num w:numId="5">
    <w:abstractNumId w:val="5"/>
  </w:num>
  <w:num w:numId="6">
    <w:abstractNumId w:val="4"/>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21"/>
    <w:rsid w:val="00001A05"/>
    <w:rsid w:val="00025073"/>
    <w:rsid w:val="00031FEB"/>
    <w:rsid w:val="000370BF"/>
    <w:rsid w:val="00050B69"/>
    <w:rsid w:val="00060D71"/>
    <w:rsid w:val="00064172"/>
    <w:rsid w:val="00077582"/>
    <w:rsid w:val="000A5F88"/>
    <w:rsid w:val="000B6655"/>
    <w:rsid w:val="000C7A12"/>
    <w:rsid w:val="000E1A16"/>
    <w:rsid w:val="00104D21"/>
    <w:rsid w:val="00117324"/>
    <w:rsid w:val="001179C9"/>
    <w:rsid w:val="0013604E"/>
    <w:rsid w:val="0016168F"/>
    <w:rsid w:val="00192F13"/>
    <w:rsid w:val="001931E3"/>
    <w:rsid w:val="001A23E8"/>
    <w:rsid w:val="001A3801"/>
    <w:rsid w:val="001C4231"/>
    <w:rsid w:val="001C5E80"/>
    <w:rsid w:val="001E4DCC"/>
    <w:rsid w:val="001F4DA0"/>
    <w:rsid w:val="00200CEB"/>
    <w:rsid w:val="00226C05"/>
    <w:rsid w:val="00234C59"/>
    <w:rsid w:val="002500C5"/>
    <w:rsid w:val="0026537A"/>
    <w:rsid w:val="00267EDC"/>
    <w:rsid w:val="002757C6"/>
    <w:rsid w:val="0029778E"/>
    <w:rsid w:val="002B7E6B"/>
    <w:rsid w:val="002E12BD"/>
    <w:rsid w:val="002F3A2E"/>
    <w:rsid w:val="0033640D"/>
    <w:rsid w:val="0035011B"/>
    <w:rsid w:val="003866AA"/>
    <w:rsid w:val="003B1582"/>
    <w:rsid w:val="003C1A60"/>
    <w:rsid w:val="003D2D37"/>
    <w:rsid w:val="003D3DB0"/>
    <w:rsid w:val="003E0D11"/>
    <w:rsid w:val="00414463"/>
    <w:rsid w:val="00423219"/>
    <w:rsid w:val="0044149E"/>
    <w:rsid w:val="004A339A"/>
    <w:rsid w:val="004A5C72"/>
    <w:rsid w:val="004E0EE6"/>
    <w:rsid w:val="00503AC7"/>
    <w:rsid w:val="00510A69"/>
    <w:rsid w:val="00511B06"/>
    <w:rsid w:val="00536562"/>
    <w:rsid w:val="00567E7B"/>
    <w:rsid w:val="00570BC0"/>
    <w:rsid w:val="00581C56"/>
    <w:rsid w:val="0058366C"/>
    <w:rsid w:val="00585FE7"/>
    <w:rsid w:val="005B65F8"/>
    <w:rsid w:val="005C7B26"/>
    <w:rsid w:val="005D1A7A"/>
    <w:rsid w:val="005F61DC"/>
    <w:rsid w:val="006276F7"/>
    <w:rsid w:val="006343DF"/>
    <w:rsid w:val="00634D60"/>
    <w:rsid w:val="006643F1"/>
    <w:rsid w:val="00670704"/>
    <w:rsid w:val="0067189E"/>
    <w:rsid w:val="00671EDA"/>
    <w:rsid w:val="00673565"/>
    <w:rsid w:val="00695EEA"/>
    <w:rsid w:val="006C4CCB"/>
    <w:rsid w:val="006E0949"/>
    <w:rsid w:val="00713C58"/>
    <w:rsid w:val="00713DC0"/>
    <w:rsid w:val="007428CF"/>
    <w:rsid w:val="0076005B"/>
    <w:rsid w:val="00764110"/>
    <w:rsid w:val="00764133"/>
    <w:rsid w:val="00790D94"/>
    <w:rsid w:val="007C6806"/>
    <w:rsid w:val="007E0D6E"/>
    <w:rsid w:val="007E14E9"/>
    <w:rsid w:val="007E259C"/>
    <w:rsid w:val="007F5D46"/>
    <w:rsid w:val="007F66CB"/>
    <w:rsid w:val="00800395"/>
    <w:rsid w:val="0081372D"/>
    <w:rsid w:val="00813D85"/>
    <w:rsid w:val="00815E47"/>
    <w:rsid w:val="00850BDE"/>
    <w:rsid w:val="00861201"/>
    <w:rsid w:val="00865203"/>
    <w:rsid w:val="008F4721"/>
    <w:rsid w:val="008F7D39"/>
    <w:rsid w:val="0090676F"/>
    <w:rsid w:val="009146CD"/>
    <w:rsid w:val="009260E6"/>
    <w:rsid w:val="00926486"/>
    <w:rsid w:val="0093705A"/>
    <w:rsid w:val="00941007"/>
    <w:rsid w:val="00942EAF"/>
    <w:rsid w:val="0097161C"/>
    <w:rsid w:val="009B2874"/>
    <w:rsid w:val="009C4C2A"/>
    <w:rsid w:val="009C644B"/>
    <w:rsid w:val="009E5E9A"/>
    <w:rsid w:val="009F0361"/>
    <w:rsid w:val="009F0D13"/>
    <w:rsid w:val="00A052AE"/>
    <w:rsid w:val="00A16FBA"/>
    <w:rsid w:val="00A27869"/>
    <w:rsid w:val="00A36416"/>
    <w:rsid w:val="00A61EF7"/>
    <w:rsid w:val="00A679A3"/>
    <w:rsid w:val="00A75A21"/>
    <w:rsid w:val="00A87D24"/>
    <w:rsid w:val="00A9603D"/>
    <w:rsid w:val="00B04A1B"/>
    <w:rsid w:val="00B24163"/>
    <w:rsid w:val="00B519B9"/>
    <w:rsid w:val="00B54B19"/>
    <w:rsid w:val="00BA7A24"/>
    <w:rsid w:val="00BB5517"/>
    <w:rsid w:val="00BC0A53"/>
    <w:rsid w:val="00C20C39"/>
    <w:rsid w:val="00C35EA6"/>
    <w:rsid w:val="00C37B11"/>
    <w:rsid w:val="00C60108"/>
    <w:rsid w:val="00C65B5A"/>
    <w:rsid w:val="00C731A7"/>
    <w:rsid w:val="00C9289D"/>
    <w:rsid w:val="00CA5451"/>
    <w:rsid w:val="00CD63B9"/>
    <w:rsid w:val="00CE6D99"/>
    <w:rsid w:val="00CF7BA7"/>
    <w:rsid w:val="00D05C96"/>
    <w:rsid w:val="00D27E15"/>
    <w:rsid w:val="00D34338"/>
    <w:rsid w:val="00D4723D"/>
    <w:rsid w:val="00D53314"/>
    <w:rsid w:val="00D60472"/>
    <w:rsid w:val="00D80EB4"/>
    <w:rsid w:val="00D87AC1"/>
    <w:rsid w:val="00D9458E"/>
    <w:rsid w:val="00D94B68"/>
    <w:rsid w:val="00DA1DC0"/>
    <w:rsid w:val="00DB13A8"/>
    <w:rsid w:val="00E134FA"/>
    <w:rsid w:val="00E17E80"/>
    <w:rsid w:val="00E2737D"/>
    <w:rsid w:val="00E33FA2"/>
    <w:rsid w:val="00E369E8"/>
    <w:rsid w:val="00E43120"/>
    <w:rsid w:val="00E5419B"/>
    <w:rsid w:val="00E54F54"/>
    <w:rsid w:val="00E752CF"/>
    <w:rsid w:val="00E76C0A"/>
    <w:rsid w:val="00E814E3"/>
    <w:rsid w:val="00EA40CC"/>
    <w:rsid w:val="00ED0C2D"/>
    <w:rsid w:val="00EE0290"/>
    <w:rsid w:val="00F06221"/>
    <w:rsid w:val="00F2246A"/>
    <w:rsid w:val="00F236CF"/>
    <w:rsid w:val="00F421B7"/>
    <w:rsid w:val="00F56070"/>
    <w:rsid w:val="00F7241B"/>
    <w:rsid w:val="00F81353"/>
    <w:rsid w:val="00F81535"/>
    <w:rsid w:val="00F856DA"/>
    <w:rsid w:val="00FA0C7C"/>
    <w:rsid w:val="00FB4802"/>
    <w:rsid w:val="00FB6746"/>
    <w:rsid w:val="00FB6E03"/>
    <w:rsid w:val="00FC547F"/>
    <w:rsid w:val="00FE4A5C"/>
    <w:rsid w:val="00FE50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6CED"/>
  <w15:docId w15:val="{B3374BBE-30CB-4E77-9DA3-66C71982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14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146CD"/>
    <w:rPr>
      <w:rFonts w:ascii="Times New Roman" w:eastAsia="Times New Roman" w:hAnsi="Times New Roman" w:cs="Times New Roman"/>
      <w:b/>
      <w:bCs/>
      <w:kern w:val="36"/>
      <w:sz w:val="48"/>
      <w:szCs w:val="48"/>
      <w:lang w:eastAsia="de-CH"/>
    </w:rPr>
  </w:style>
  <w:style w:type="character" w:styleId="Fett">
    <w:name w:val="Strong"/>
    <w:basedOn w:val="Absatz-Standardschriftart"/>
    <w:uiPriority w:val="22"/>
    <w:qFormat/>
    <w:rsid w:val="009146CD"/>
    <w:rPr>
      <w:b/>
      <w:bCs/>
    </w:rPr>
  </w:style>
  <w:style w:type="paragraph" w:styleId="Listenabsatz">
    <w:name w:val="List Paragraph"/>
    <w:basedOn w:val="Standard"/>
    <w:uiPriority w:val="34"/>
    <w:qFormat/>
    <w:rsid w:val="00031FEB"/>
    <w:pPr>
      <w:ind w:left="720"/>
      <w:contextualSpacing/>
    </w:pPr>
  </w:style>
  <w:style w:type="character" w:styleId="Kommentarzeichen">
    <w:name w:val="annotation reference"/>
    <w:basedOn w:val="Absatz-Standardschriftart"/>
    <w:uiPriority w:val="99"/>
    <w:semiHidden/>
    <w:unhideWhenUsed/>
    <w:rsid w:val="00C65B5A"/>
    <w:rPr>
      <w:sz w:val="16"/>
      <w:szCs w:val="16"/>
    </w:rPr>
  </w:style>
  <w:style w:type="paragraph" w:styleId="Kommentartext">
    <w:name w:val="annotation text"/>
    <w:basedOn w:val="Standard"/>
    <w:link w:val="KommentartextZchn"/>
    <w:uiPriority w:val="99"/>
    <w:semiHidden/>
    <w:unhideWhenUsed/>
    <w:rsid w:val="00C65B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5B5A"/>
    <w:rPr>
      <w:sz w:val="20"/>
      <w:szCs w:val="20"/>
    </w:rPr>
  </w:style>
  <w:style w:type="paragraph" w:styleId="Kommentarthema">
    <w:name w:val="annotation subject"/>
    <w:basedOn w:val="Kommentartext"/>
    <w:next w:val="Kommentartext"/>
    <w:link w:val="KommentarthemaZchn"/>
    <w:uiPriority w:val="99"/>
    <w:semiHidden/>
    <w:unhideWhenUsed/>
    <w:rsid w:val="00C65B5A"/>
    <w:rPr>
      <w:b/>
      <w:bCs/>
    </w:rPr>
  </w:style>
  <w:style w:type="character" w:customStyle="1" w:styleId="KommentarthemaZchn">
    <w:name w:val="Kommentarthema Zchn"/>
    <w:basedOn w:val="KommentartextZchn"/>
    <w:link w:val="Kommentarthema"/>
    <w:uiPriority w:val="99"/>
    <w:semiHidden/>
    <w:rsid w:val="00C65B5A"/>
    <w:rPr>
      <w:b/>
      <w:bCs/>
      <w:sz w:val="20"/>
      <w:szCs w:val="20"/>
    </w:rPr>
  </w:style>
  <w:style w:type="paragraph" w:styleId="Sprechblasentext">
    <w:name w:val="Balloon Text"/>
    <w:basedOn w:val="Standard"/>
    <w:link w:val="SprechblasentextZchn"/>
    <w:uiPriority w:val="99"/>
    <w:semiHidden/>
    <w:unhideWhenUsed/>
    <w:rsid w:val="00C65B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5B5A"/>
    <w:rPr>
      <w:rFonts w:ascii="Segoe UI" w:hAnsi="Segoe UI" w:cs="Segoe UI"/>
      <w:sz w:val="18"/>
      <w:szCs w:val="18"/>
    </w:rPr>
  </w:style>
  <w:style w:type="character" w:styleId="Hyperlink">
    <w:name w:val="Hyperlink"/>
    <w:basedOn w:val="Absatz-Standardschriftart"/>
    <w:uiPriority w:val="99"/>
    <w:unhideWhenUsed/>
    <w:rsid w:val="009C644B"/>
    <w:rPr>
      <w:color w:val="0563C1" w:themeColor="hyperlink"/>
      <w:u w:val="single"/>
    </w:rPr>
  </w:style>
  <w:style w:type="character" w:customStyle="1" w:styleId="NichtaufgelsteErwhnung1">
    <w:name w:val="Nicht aufgelöste Erwähnung1"/>
    <w:basedOn w:val="Absatz-Standardschriftart"/>
    <w:uiPriority w:val="99"/>
    <w:semiHidden/>
    <w:unhideWhenUsed/>
    <w:rsid w:val="009C644B"/>
    <w:rPr>
      <w:color w:val="605E5C"/>
      <w:shd w:val="clear" w:color="auto" w:fill="E1DFDD"/>
    </w:rPr>
  </w:style>
  <w:style w:type="paragraph" w:customStyle="1" w:styleId="Default">
    <w:name w:val="Default"/>
    <w:rsid w:val="001A3801"/>
    <w:pPr>
      <w:autoSpaceDE w:val="0"/>
      <w:autoSpaceDN w:val="0"/>
      <w:adjustRightInd w:val="0"/>
      <w:spacing w:after="0" w:line="240" w:lineRule="auto"/>
    </w:pPr>
    <w:rPr>
      <w:rFonts w:ascii="Arial" w:hAnsi="Arial" w:cs="Arial"/>
      <w:color w:val="000000"/>
      <w:sz w:val="24"/>
      <w:szCs w:val="24"/>
    </w:rPr>
  </w:style>
  <w:style w:type="character" w:customStyle="1" w:styleId="A7">
    <w:name w:val="A7"/>
    <w:uiPriority w:val="99"/>
    <w:rsid w:val="002500C5"/>
    <w:rPr>
      <w:rFonts w:cs="Minion"/>
      <w:color w:val="000000"/>
      <w:sz w:val="18"/>
      <w:szCs w:val="18"/>
    </w:rPr>
  </w:style>
  <w:style w:type="paragraph" w:styleId="Kopfzeile">
    <w:name w:val="header"/>
    <w:basedOn w:val="Standard"/>
    <w:link w:val="KopfzeileZchn"/>
    <w:uiPriority w:val="99"/>
    <w:unhideWhenUsed/>
    <w:rsid w:val="00EE02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290"/>
  </w:style>
  <w:style w:type="paragraph" w:styleId="Fuzeile">
    <w:name w:val="footer"/>
    <w:basedOn w:val="Standard"/>
    <w:link w:val="FuzeileZchn"/>
    <w:uiPriority w:val="99"/>
    <w:unhideWhenUsed/>
    <w:rsid w:val="00EE02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290"/>
  </w:style>
  <w:style w:type="character" w:styleId="BesuchterLink">
    <w:name w:val="FollowedHyperlink"/>
    <w:basedOn w:val="Absatz-Standardschriftart"/>
    <w:uiPriority w:val="99"/>
    <w:semiHidden/>
    <w:unhideWhenUsed/>
    <w:rsid w:val="00670704"/>
    <w:rPr>
      <w:color w:val="954F72" w:themeColor="followedHyperlink"/>
      <w:u w:val="single"/>
    </w:rPr>
  </w:style>
  <w:style w:type="character" w:styleId="Funotenzeichen">
    <w:name w:val="footnote reference"/>
    <w:qFormat/>
    <w:rsid w:val="00D27E15"/>
  </w:style>
  <w:style w:type="paragraph" w:styleId="NurText">
    <w:name w:val="Plain Text"/>
    <w:basedOn w:val="Standard"/>
    <w:link w:val="NurTextZchn"/>
    <w:uiPriority w:val="99"/>
    <w:semiHidden/>
    <w:unhideWhenUsed/>
    <w:rsid w:val="00A052AE"/>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A052A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6275">
      <w:bodyDiv w:val="1"/>
      <w:marLeft w:val="0"/>
      <w:marRight w:val="0"/>
      <w:marTop w:val="0"/>
      <w:marBottom w:val="0"/>
      <w:divBdr>
        <w:top w:val="none" w:sz="0" w:space="0" w:color="auto"/>
        <w:left w:val="none" w:sz="0" w:space="0" w:color="auto"/>
        <w:bottom w:val="none" w:sz="0" w:space="0" w:color="auto"/>
        <w:right w:val="none" w:sz="0" w:space="0" w:color="auto"/>
      </w:divBdr>
    </w:div>
    <w:div w:id="796266744">
      <w:bodyDiv w:val="1"/>
      <w:marLeft w:val="0"/>
      <w:marRight w:val="0"/>
      <w:marTop w:val="0"/>
      <w:marBottom w:val="0"/>
      <w:divBdr>
        <w:top w:val="none" w:sz="0" w:space="0" w:color="auto"/>
        <w:left w:val="none" w:sz="0" w:space="0" w:color="auto"/>
        <w:bottom w:val="none" w:sz="0" w:space="0" w:color="auto"/>
        <w:right w:val="none" w:sz="0" w:space="0" w:color="auto"/>
      </w:divBdr>
    </w:div>
    <w:div w:id="1056971386">
      <w:bodyDiv w:val="1"/>
      <w:marLeft w:val="0"/>
      <w:marRight w:val="0"/>
      <w:marTop w:val="0"/>
      <w:marBottom w:val="0"/>
      <w:divBdr>
        <w:top w:val="none" w:sz="0" w:space="0" w:color="auto"/>
        <w:left w:val="none" w:sz="0" w:space="0" w:color="auto"/>
        <w:bottom w:val="none" w:sz="0" w:space="0" w:color="auto"/>
        <w:right w:val="none" w:sz="0" w:space="0" w:color="auto"/>
      </w:divBdr>
    </w:div>
    <w:div w:id="1198392650">
      <w:bodyDiv w:val="1"/>
      <w:marLeft w:val="0"/>
      <w:marRight w:val="0"/>
      <w:marTop w:val="0"/>
      <w:marBottom w:val="0"/>
      <w:divBdr>
        <w:top w:val="none" w:sz="0" w:space="0" w:color="auto"/>
        <w:left w:val="none" w:sz="0" w:space="0" w:color="auto"/>
        <w:bottom w:val="none" w:sz="0" w:space="0" w:color="auto"/>
        <w:right w:val="none" w:sz="0" w:space="0" w:color="auto"/>
      </w:divBdr>
    </w:div>
    <w:div w:id="138263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GfBlWX2m0U&amp;feature=youtu.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m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dmin.ch/opc/de/classified-compilation/20071012/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D6DB-C806-4989-9210-447A47746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3385</Words>
  <Characters>21332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anonymus</dc:creator>
  <cp:lastModifiedBy>Kruse Philipp</cp:lastModifiedBy>
  <cp:revision>4</cp:revision>
  <dcterms:created xsi:type="dcterms:W3CDTF">2020-07-08T16:05:00Z</dcterms:created>
  <dcterms:modified xsi:type="dcterms:W3CDTF">2020-07-08T16:07:00Z</dcterms:modified>
</cp:coreProperties>
</file>